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3F7" w:rsidRDefault="00B56A47">
      <w:pPr>
        <w:pStyle w:val="CorpsA"/>
        <w:suppressAutoHyphens/>
        <w:spacing w:after="0" w:line="480" w:lineRule="auto"/>
        <w:jc w:val="both"/>
        <w:rPr>
          <w:rStyle w:val="AucunA"/>
          <w:rFonts w:ascii="Times New Roman" w:eastAsia="Times New Roman" w:hAnsi="Times New Roman" w:cs="Times New Roman"/>
          <w:b/>
          <w:bCs/>
          <w:sz w:val="24"/>
          <w:szCs w:val="24"/>
        </w:rPr>
      </w:pPr>
      <w:bookmarkStart w:id="0" w:name="_GoBack"/>
      <w:bookmarkEnd w:id="0"/>
      <w:r>
        <w:rPr>
          <w:rStyle w:val="AucunA"/>
          <w:rFonts w:ascii="Times New Roman" w:hAnsi="Times New Roman"/>
          <w:b/>
          <w:bCs/>
          <w:sz w:val="24"/>
          <w:szCs w:val="24"/>
        </w:rPr>
        <w:t xml:space="preserve">Titre développé </w:t>
      </w:r>
    </w:p>
    <w:p w:rsidR="003A53F7" w:rsidRDefault="00670B5E">
      <w:pPr>
        <w:pStyle w:val="CorpsA"/>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sz w:val="24"/>
          <w:szCs w:val="24"/>
        </w:rPr>
        <w:t xml:space="preserve">Enjeux et amélioration de gestion des </w:t>
      </w:r>
      <w:r>
        <w:rPr>
          <w:rStyle w:val="AucunA"/>
          <w:rFonts w:ascii="Times New Roman" w:hAnsi="Times New Roman"/>
          <w:i/>
          <w:iCs/>
          <w:sz w:val="24"/>
          <w:szCs w:val="24"/>
        </w:rPr>
        <w:t>Entandrophragma</w:t>
      </w:r>
      <w:r>
        <w:rPr>
          <w:rStyle w:val="AucunA"/>
          <w:rFonts w:ascii="Times New Roman" w:hAnsi="Times New Roman"/>
          <w:sz w:val="24"/>
          <w:szCs w:val="24"/>
        </w:rPr>
        <w:t xml:space="preserve"> : arbres africains</w:t>
      </w:r>
      <w:r w:rsidR="00DF4D53">
        <w:rPr>
          <w:rStyle w:val="AucunA"/>
          <w:rFonts w:ascii="Times New Roman" w:hAnsi="Times New Roman"/>
          <w:sz w:val="24"/>
          <w:szCs w:val="24"/>
        </w:rPr>
        <w:t xml:space="preserve"> potentiellement en danger</w:t>
      </w:r>
      <w:r>
        <w:rPr>
          <w:rStyle w:val="AucunA"/>
          <w:rFonts w:ascii="Times New Roman" w:hAnsi="Times New Roman"/>
          <w:sz w:val="24"/>
          <w:szCs w:val="24"/>
        </w:rPr>
        <w:t xml:space="preserve"> </w:t>
      </w:r>
    </w:p>
    <w:p w:rsidR="003A53F7" w:rsidRDefault="00670B5E">
      <w:pPr>
        <w:pStyle w:val="CorpsA"/>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Titre courant</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Les </w:t>
      </w:r>
      <w:r>
        <w:rPr>
          <w:rStyle w:val="AucunA"/>
          <w:rFonts w:ascii="Times New Roman" w:hAnsi="Times New Roman"/>
          <w:i/>
          <w:iCs/>
          <w:sz w:val="24"/>
          <w:szCs w:val="24"/>
        </w:rPr>
        <w:t>Entandrophragma </w:t>
      </w:r>
      <w:r>
        <w:rPr>
          <w:rStyle w:val="AucunA"/>
          <w:rFonts w:ascii="Times New Roman" w:hAnsi="Times New Roman"/>
          <w:sz w:val="24"/>
          <w:szCs w:val="24"/>
        </w:rPr>
        <w:t>: enjeux de gestion durable</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Mots-clés</w:t>
      </w:r>
      <w:r>
        <w:rPr>
          <w:rStyle w:val="AucunA"/>
          <w:rFonts w:ascii="Times New Roman" w:hAnsi="Times New Roman"/>
          <w:sz w:val="24"/>
          <w:szCs w:val="24"/>
        </w:rPr>
        <w:t> : Afrique, aménagement forestier,</w:t>
      </w:r>
      <w:r w:rsidR="00AE26F5">
        <w:rPr>
          <w:rStyle w:val="AucunA"/>
          <w:rFonts w:ascii="Times New Roman" w:hAnsi="Times New Roman"/>
          <w:sz w:val="24"/>
          <w:szCs w:val="24"/>
        </w:rPr>
        <w:t xml:space="preserve"> bois,</w:t>
      </w:r>
      <w:r>
        <w:rPr>
          <w:rStyle w:val="AucunA"/>
          <w:rFonts w:ascii="Times New Roman" w:hAnsi="Times New Roman"/>
          <w:sz w:val="24"/>
          <w:szCs w:val="24"/>
        </w:rPr>
        <w:t xml:space="preserve"> économie, </w:t>
      </w:r>
      <w:r>
        <w:rPr>
          <w:rStyle w:val="AucunA"/>
          <w:rFonts w:ascii="Times New Roman" w:hAnsi="Times New Roman"/>
          <w:i/>
          <w:iCs/>
          <w:sz w:val="24"/>
          <w:szCs w:val="24"/>
        </w:rPr>
        <w:t>Entandrophragma</w:t>
      </w:r>
      <w:r>
        <w:rPr>
          <w:rStyle w:val="AucunA"/>
          <w:rFonts w:ascii="Times New Roman" w:hAnsi="Times New Roman"/>
          <w:sz w:val="24"/>
          <w:szCs w:val="24"/>
        </w:rPr>
        <w:t xml:space="preserve">, exploitation forestière, forêt dense humide, gestion durable, reboisement. </w:t>
      </w:r>
    </w:p>
    <w:p w:rsidR="003A53F7" w:rsidRDefault="00670B5E">
      <w:pPr>
        <w:pStyle w:val="CorpsA"/>
        <w:suppressAutoHyphens/>
        <w:spacing w:after="0" w:line="480" w:lineRule="auto"/>
        <w:jc w:val="both"/>
      </w:pPr>
      <w:r>
        <w:rPr>
          <w:rStyle w:val="AucunA"/>
          <w:rFonts w:ascii="Arial Unicode MS" w:eastAsia="Arial Unicode MS" w:hAnsi="Arial Unicode MS" w:cs="Arial Unicode MS"/>
          <w:shd w:val="clear" w:color="auto" w:fill="FFFFFF"/>
        </w:rPr>
        <w:br w:type="page"/>
      </w:r>
    </w:p>
    <w:p w:rsidR="003A53F7" w:rsidRDefault="00670B5E">
      <w:pPr>
        <w:pStyle w:val="CorpsA"/>
        <w:suppressAutoHyphens/>
        <w:spacing w:line="480" w:lineRule="auto"/>
        <w:jc w:val="both"/>
        <w:rPr>
          <w:rStyle w:val="AucunA"/>
          <w:rFonts w:ascii="Times New Roman" w:eastAsia="Times New Roman" w:hAnsi="Times New Roman" w:cs="Times New Roman"/>
          <w:b/>
          <w:bCs/>
          <w:shd w:val="clear" w:color="auto" w:fill="FFFFFF"/>
        </w:rPr>
      </w:pPr>
      <w:r>
        <w:rPr>
          <w:rStyle w:val="AucunA"/>
          <w:rFonts w:ascii="Times New Roman" w:hAnsi="Times New Roman"/>
          <w:b/>
          <w:bCs/>
          <w:shd w:val="clear" w:color="auto" w:fill="FFFFFF"/>
        </w:rPr>
        <w:lastRenderedPageBreak/>
        <w:t>Renseignement sur les auteurs</w:t>
      </w:r>
    </w:p>
    <w:p w:rsidR="003A53F7" w:rsidRDefault="00670B5E">
      <w:pPr>
        <w:pStyle w:val="CorpsA"/>
        <w:suppressAutoHyphens/>
        <w:spacing w:after="0" w:line="480" w:lineRule="auto"/>
        <w:jc w:val="both"/>
        <w:rPr>
          <w:rStyle w:val="AucunA"/>
          <w:rFonts w:ascii="Times New Roman" w:eastAsia="Times New Roman" w:hAnsi="Times New Roman" w:cs="Times New Roman"/>
        </w:rPr>
      </w:pPr>
      <w:r>
        <w:rPr>
          <w:rStyle w:val="AucunA"/>
          <w:rFonts w:ascii="Times New Roman" w:hAnsi="Times New Roman"/>
        </w:rPr>
        <w:t>*</w:t>
      </w:r>
      <w:r>
        <w:rPr>
          <w:rStyle w:val="AucunA"/>
          <w:rFonts w:ascii="Times New Roman" w:hAnsi="Times New Roman"/>
          <w:b/>
          <w:bCs/>
        </w:rPr>
        <w:t xml:space="preserve">Emmanuel Kasongo Yakusu </w:t>
      </w:r>
      <w:r>
        <w:rPr>
          <w:rStyle w:val="AucunA"/>
          <w:rFonts w:ascii="Times New Roman" w:hAnsi="Times New Roman"/>
        </w:rPr>
        <w:t xml:space="preserve">(pour toute correspondance et tirés à part) : </w:t>
      </w:r>
    </w:p>
    <w:p w:rsidR="003A53F7" w:rsidRPr="00F4414F" w:rsidRDefault="00670B5E">
      <w:pPr>
        <w:pStyle w:val="CorpsA"/>
        <w:suppressAutoHyphens/>
        <w:spacing w:after="0" w:line="480" w:lineRule="auto"/>
        <w:jc w:val="both"/>
        <w:rPr>
          <w:rStyle w:val="AucunA"/>
          <w:rFonts w:ascii="Times New Roman" w:eastAsia="Times New Roman" w:hAnsi="Times New Roman" w:cs="Times New Roman"/>
          <w:lang w:val="en-US"/>
        </w:rPr>
      </w:pPr>
      <w:r>
        <w:rPr>
          <w:rStyle w:val="AucunA"/>
          <w:rFonts w:ascii="Times New Roman" w:hAnsi="Times New Roman"/>
          <w:lang w:val="en-US"/>
        </w:rPr>
        <w:t xml:space="preserve">Ghent University, Department of Environment, Laboratory of Wood Technology, Ugent-Woodlab. </w:t>
      </w:r>
      <w:r w:rsidRPr="00F4414F">
        <w:rPr>
          <w:rStyle w:val="AucunA"/>
          <w:rFonts w:ascii="Times New Roman" w:hAnsi="Times New Roman"/>
          <w:lang w:val="en-US"/>
        </w:rPr>
        <w:t>Coupure Links 653. 9000 Gand (Belgique).</w:t>
      </w:r>
    </w:p>
    <w:p w:rsidR="003A53F7" w:rsidRDefault="00670B5E">
      <w:pPr>
        <w:pStyle w:val="Corp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sz w:val="22"/>
          <w:szCs w:val="22"/>
        </w:rPr>
      </w:pPr>
      <w:r>
        <w:rPr>
          <w:rStyle w:val="AucunA"/>
          <w:sz w:val="22"/>
          <w:szCs w:val="22"/>
          <w:lang w:val="en-US"/>
        </w:rPr>
        <w:t>Royal Museum for Central Africa.</w:t>
      </w:r>
      <w:r w:rsidRPr="00F4414F">
        <w:rPr>
          <w:sz w:val="22"/>
          <w:szCs w:val="22"/>
          <w:lang w:val="en-US"/>
        </w:rPr>
        <w:t xml:space="preserve"> </w:t>
      </w:r>
      <w:r>
        <w:rPr>
          <w:rStyle w:val="AucunA"/>
          <w:sz w:val="22"/>
          <w:szCs w:val="22"/>
          <w:lang w:val="en-US"/>
        </w:rPr>
        <w:t xml:space="preserve">Service of Wood Biology. </w:t>
      </w:r>
      <w:r>
        <w:rPr>
          <w:rStyle w:val="AucunA"/>
          <w:sz w:val="22"/>
          <w:szCs w:val="22"/>
          <w:lang w:val="nl-NL"/>
        </w:rPr>
        <w:t>Leuvensesteenweg 13</w:t>
      </w:r>
      <w:r>
        <w:rPr>
          <w:rStyle w:val="AucunA"/>
          <w:sz w:val="22"/>
          <w:szCs w:val="22"/>
        </w:rPr>
        <w:t>. 3080 Tervuren (Belgique).</w:t>
      </w:r>
      <w:r>
        <w:rPr>
          <w:rStyle w:val="AucunAA"/>
          <w:sz w:val="22"/>
          <w:szCs w:val="22"/>
        </w:rPr>
        <w:t xml:space="preserve"> </w:t>
      </w:r>
    </w:p>
    <w:p w:rsidR="003A53F7" w:rsidRDefault="00670B5E">
      <w:pPr>
        <w:pStyle w:val="CorpsA"/>
        <w:suppressAutoHyphens/>
        <w:spacing w:after="0" w:line="480" w:lineRule="auto"/>
        <w:jc w:val="both"/>
        <w:rPr>
          <w:rStyle w:val="AucunA"/>
          <w:rFonts w:ascii="Times New Roman" w:eastAsia="Times New Roman" w:hAnsi="Times New Roman" w:cs="Times New Roman"/>
        </w:rPr>
      </w:pPr>
      <w:r>
        <w:rPr>
          <w:rStyle w:val="AucunA"/>
          <w:rFonts w:ascii="Times New Roman" w:hAnsi="Times New Roman"/>
        </w:rPr>
        <w:t xml:space="preserve">Université de Kisangani. Faculté de Gestion des Ressources Naturelles Renouvelables. B.P. : 2012. Avenue Kitima, 3. Kisangani (République Démocratique du Congo). </w:t>
      </w:r>
    </w:p>
    <w:p w:rsidR="003A53F7" w:rsidRDefault="00670B5E">
      <w:pPr>
        <w:pStyle w:val="CorpsA"/>
        <w:suppressAutoHyphens/>
        <w:spacing w:after="0" w:line="480" w:lineRule="auto"/>
        <w:jc w:val="both"/>
        <w:rPr>
          <w:rStyle w:val="AucunA"/>
          <w:rFonts w:ascii="Times New Roman" w:eastAsia="Times New Roman" w:hAnsi="Times New Roman" w:cs="Times New Roman"/>
        </w:rPr>
      </w:pPr>
      <w:r>
        <w:rPr>
          <w:rStyle w:val="AucunA"/>
          <w:rFonts w:ascii="Times New Roman" w:hAnsi="Times New Roman"/>
        </w:rPr>
        <w:t xml:space="preserve">Email : </w:t>
      </w:r>
      <w:hyperlink r:id="rId8" w:history="1">
        <w:r>
          <w:rPr>
            <w:rStyle w:val="Hyperlink0"/>
            <w:rFonts w:eastAsia="Calibri"/>
          </w:rPr>
          <w:t>emmakasongo1@yahoo.fr</w:t>
        </w:r>
      </w:hyperlink>
      <w:r>
        <w:rPr>
          <w:rStyle w:val="AucunA"/>
          <w:rFonts w:ascii="Times New Roman" w:hAnsi="Times New Roman"/>
        </w:rPr>
        <w:t xml:space="preserve"> / </w:t>
      </w:r>
      <w:hyperlink r:id="rId9" w:history="1">
        <w:r w:rsidR="00D536C7">
          <w:rPr>
            <w:rStyle w:val="Hyperlink1"/>
            <w:rFonts w:eastAsia="Calibri"/>
          </w:rPr>
          <w:t>emmanuel.kasongoy</w:t>
        </w:r>
        <w:r w:rsidRPr="00F4414F">
          <w:rPr>
            <w:rStyle w:val="Hyperlink1"/>
            <w:rFonts w:eastAsia="Calibri"/>
          </w:rPr>
          <w:t>akusu@ugent.be</w:t>
        </w:r>
      </w:hyperlink>
    </w:p>
    <w:p w:rsidR="003A53F7" w:rsidRDefault="00670B5E">
      <w:pPr>
        <w:pStyle w:val="CorpsA"/>
        <w:suppressAutoHyphens/>
        <w:spacing w:after="0" w:line="480" w:lineRule="auto"/>
        <w:jc w:val="both"/>
        <w:rPr>
          <w:rStyle w:val="AucunA"/>
          <w:rFonts w:ascii="Times New Roman" w:eastAsia="Times New Roman" w:hAnsi="Times New Roman" w:cs="Times New Roman"/>
        </w:rPr>
      </w:pPr>
      <w:r>
        <w:rPr>
          <w:rStyle w:val="AucunA"/>
          <w:rFonts w:ascii="Times New Roman" w:hAnsi="Times New Roman"/>
          <w:b/>
          <w:bCs/>
        </w:rPr>
        <w:t>Dominique Louppe :</w:t>
      </w:r>
      <w:r>
        <w:t xml:space="preserve"> </w:t>
      </w:r>
      <w:r>
        <w:rPr>
          <w:rStyle w:val="AucunA"/>
          <w:rFonts w:ascii="Times New Roman" w:hAnsi="Times New Roman"/>
        </w:rPr>
        <w:t xml:space="preserve">Centre de coopération internationale en recherche agronomique pour le développement. Département forestier. Campus international de Baillarguet TA 10/C 34398 Montpellier Cedex 5 (France). E-mail : </w:t>
      </w:r>
      <w:hyperlink r:id="rId10" w:history="1">
        <w:r>
          <w:rPr>
            <w:rStyle w:val="Hyperlink2"/>
            <w:rFonts w:eastAsia="Calibri"/>
          </w:rPr>
          <w:t xml:space="preserve">dominique.louppe@cirad.fr </w:t>
        </w:r>
      </w:hyperlink>
    </w:p>
    <w:p w:rsidR="003A53F7" w:rsidRDefault="00670B5E">
      <w:pPr>
        <w:pStyle w:val="Corps"/>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s>
        <w:spacing w:line="480" w:lineRule="auto"/>
        <w:rPr>
          <w:rStyle w:val="AucunA"/>
          <w:rFonts w:ascii="Times" w:eastAsia="Times" w:hAnsi="Times" w:cs="Times"/>
          <w:sz w:val="22"/>
          <w:szCs w:val="22"/>
        </w:rPr>
      </w:pPr>
      <w:r>
        <w:rPr>
          <w:rStyle w:val="AucunA"/>
          <w:rFonts w:ascii="Times" w:hAnsi="Times"/>
          <w:b/>
          <w:bCs/>
          <w:sz w:val="22"/>
          <w:szCs w:val="22"/>
        </w:rPr>
        <w:t>Franck S. Monthe :</w:t>
      </w:r>
      <w:r>
        <w:rPr>
          <w:rStyle w:val="AucunA"/>
          <w:rFonts w:ascii="Times" w:hAnsi="Times"/>
          <w:sz w:val="22"/>
          <w:szCs w:val="22"/>
        </w:rPr>
        <w:t xml:space="preserve"> Université Libre de Bruxelles. Faculté des Sciences. Évolution biologique et É</w:t>
      </w:r>
      <w:r>
        <w:rPr>
          <w:rStyle w:val="AucunA"/>
          <w:rFonts w:ascii="Times" w:hAnsi="Times"/>
          <w:sz w:val="22"/>
          <w:szCs w:val="22"/>
          <w:lang w:val="pt-PT"/>
        </w:rPr>
        <w:t>cologie. CP 160/12. Av</w:t>
      </w:r>
      <w:r>
        <w:rPr>
          <w:rStyle w:val="AucunA"/>
          <w:rFonts w:ascii="Times" w:hAnsi="Times"/>
          <w:sz w:val="22"/>
          <w:szCs w:val="22"/>
        </w:rPr>
        <w:t xml:space="preserve">enue  F. D. Roosevelt, 50. B-1050 Bruxelles (Belgique). </w:t>
      </w:r>
    </w:p>
    <w:p w:rsidR="003A53F7" w:rsidRDefault="00670B5E">
      <w:pPr>
        <w:pStyle w:val="Corps"/>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s>
        <w:spacing w:line="480" w:lineRule="auto"/>
        <w:rPr>
          <w:rStyle w:val="AucunA"/>
          <w:rFonts w:ascii="Times" w:eastAsia="Times" w:hAnsi="Times" w:cs="Times"/>
          <w:sz w:val="22"/>
          <w:szCs w:val="22"/>
        </w:rPr>
      </w:pPr>
      <w:r>
        <w:rPr>
          <w:rStyle w:val="AucunA"/>
          <w:rFonts w:ascii="Times" w:hAnsi="Times"/>
          <w:sz w:val="22"/>
          <w:szCs w:val="22"/>
        </w:rPr>
        <w:t>E-mail :</w:t>
      </w:r>
      <w:r>
        <w:rPr>
          <w:rStyle w:val="AucunA"/>
          <w:rFonts w:ascii="Calibri" w:eastAsia="Calibri" w:hAnsi="Calibri" w:cs="Calibri"/>
          <w:sz w:val="22"/>
          <w:szCs w:val="22"/>
        </w:rPr>
        <w:t xml:space="preserve"> </w:t>
      </w:r>
      <w:hyperlink r:id="rId11" w:history="1">
        <w:r>
          <w:rPr>
            <w:rStyle w:val="Hyperlink3"/>
          </w:rPr>
          <w:t xml:space="preserve">fmonthekameni@yahoo.fr </w:t>
        </w:r>
      </w:hyperlink>
    </w:p>
    <w:p w:rsidR="003A53F7" w:rsidRDefault="00670B5E">
      <w:pPr>
        <w:pStyle w:val="Corps"/>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s>
        <w:spacing w:line="480" w:lineRule="auto"/>
        <w:rPr>
          <w:rStyle w:val="AucunA"/>
          <w:rFonts w:ascii="Calibri" w:eastAsia="Calibri" w:hAnsi="Calibri" w:cs="Calibri"/>
          <w:sz w:val="22"/>
          <w:szCs w:val="22"/>
        </w:rPr>
      </w:pPr>
      <w:r>
        <w:rPr>
          <w:rStyle w:val="AucunA"/>
          <w:b/>
          <w:bCs/>
          <w:sz w:val="22"/>
          <w:szCs w:val="22"/>
        </w:rPr>
        <w:t>Olivier J. Hardy :</w:t>
      </w:r>
      <w:r>
        <w:rPr>
          <w:rStyle w:val="AucunA"/>
          <w:sz w:val="22"/>
          <w:szCs w:val="22"/>
        </w:rPr>
        <w:t xml:space="preserve"> Université</w:t>
      </w:r>
      <w:r>
        <w:rPr>
          <w:rStyle w:val="AucunA"/>
          <w:b/>
          <w:bCs/>
          <w:sz w:val="22"/>
          <w:szCs w:val="22"/>
        </w:rPr>
        <w:t xml:space="preserve"> </w:t>
      </w:r>
      <w:r>
        <w:rPr>
          <w:rStyle w:val="AucunA"/>
          <w:sz w:val="22"/>
          <w:szCs w:val="22"/>
        </w:rPr>
        <w:t>Libre de Bruxelles. Faculté des Sciences. Évolution biologique et É</w:t>
      </w:r>
      <w:r>
        <w:rPr>
          <w:rStyle w:val="AucunA"/>
          <w:sz w:val="22"/>
          <w:szCs w:val="22"/>
          <w:lang w:val="pt-PT"/>
        </w:rPr>
        <w:t>cologie. CP 160/12. Av</w:t>
      </w:r>
      <w:r>
        <w:rPr>
          <w:rStyle w:val="AucunA"/>
          <w:sz w:val="22"/>
          <w:szCs w:val="22"/>
        </w:rPr>
        <w:t>enue  F. D. Roosevelt, 50. B-1050 Bruxelles (Belgique).</w:t>
      </w:r>
      <w:r>
        <w:rPr>
          <w:rStyle w:val="AucunA"/>
          <w:rFonts w:ascii="Calibri" w:eastAsia="Calibri" w:hAnsi="Calibri" w:cs="Calibri"/>
          <w:sz w:val="22"/>
          <w:szCs w:val="22"/>
        </w:rPr>
        <w:t xml:space="preserve"> </w:t>
      </w:r>
    </w:p>
    <w:p w:rsidR="003A53F7" w:rsidRDefault="00670B5E">
      <w:pPr>
        <w:pStyle w:val="Corps"/>
        <w:suppressAutoHyphens/>
        <w:spacing w:line="480" w:lineRule="auto"/>
        <w:jc w:val="both"/>
        <w:rPr>
          <w:rStyle w:val="AucunA"/>
          <w:b/>
          <w:bCs/>
          <w:sz w:val="22"/>
          <w:szCs w:val="22"/>
        </w:rPr>
      </w:pPr>
      <w:r>
        <w:rPr>
          <w:rStyle w:val="AucunA"/>
          <w:sz w:val="22"/>
          <w:szCs w:val="22"/>
        </w:rPr>
        <w:t xml:space="preserve">E-mail : </w:t>
      </w:r>
      <w:hyperlink r:id="rId12" w:history="1">
        <w:r>
          <w:rPr>
            <w:rStyle w:val="Hyperlink3"/>
          </w:rPr>
          <w:t xml:space="preserve">ohardy@ulb.ac.be </w:t>
        </w:r>
      </w:hyperlink>
      <w:r>
        <w:rPr>
          <w:rStyle w:val="AucunA"/>
          <w:b/>
          <w:bCs/>
          <w:sz w:val="22"/>
          <w:szCs w:val="22"/>
        </w:rPr>
        <w:t xml:space="preserve"> </w:t>
      </w:r>
    </w:p>
    <w:p w:rsidR="003A53F7" w:rsidRDefault="00670B5E">
      <w:pPr>
        <w:pStyle w:val="Corps"/>
        <w:suppressAutoHyphens/>
        <w:spacing w:line="480" w:lineRule="auto"/>
        <w:jc w:val="both"/>
        <w:rPr>
          <w:rStyle w:val="AucunA"/>
          <w:sz w:val="22"/>
          <w:szCs w:val="22"/>
        </w:rPr>
      </w:pPr>
      <w:r>
        <w:rPr>
          <w:rStyle w:val="AucunA"/>
          <w:b/>
          <w:bCs/>
          <w:sz w:val="22"/>
          <w:szCs w:val="22"/>
        </w:rPr>
        <w:t>Félicien Bola Mbele Lokanda :</w:t>
      </w:r>
      <w:r>
        <w:rPr>
          <w:rStyle w:val="AucunA"/>
          <w:rFonts w:ascii="Calibri" w:eastAsia="Calibri" w:hAnsi="Calibri" w:cs="Calibri"/>
          <w:sz w:val="22"/>
          <w:szCs w:val="22"/>
        </w:rPr>
        <w:t xml:space="preserve"> </w:t>
      </w:r>
      <w:r>
        <w:rPr>
          <w:rStyle w:val="AucunA"/>
          <w:sz w:val="22"/>
          <w:szCs w:val="22"/>
        </w:rPr>
        <w:t xml:space="preserve">Université de Kisangani. Faculté des Sciences. B.P. : 2012. Avenue Kitima, 3. Kisangani (République Démocratique du Congo). E-mail : </w:t>
      </w:r>
      <w:hyperlink r:id="rId13" w:history="1">
        <w:r>
          <w:rPr>
            <w:rStyle w:val="Hyperlink3"/>
          </w:rPr>
          <w:t xml:space="preserve">fellybolambelok@yahoo.fr </w:t>
        </w:r>
      </w:hyperlink>
    </w:p>
    <w:p w:rsidR="003A53F7" w:rsidRPr="00F4414F" w:rsidRDefault="00670B5E">
      <w:pPr>
        <w:pStyle w:val="CorpsA"/>
        <w:suppressAutoHyphens/>
        <w:spacing w:after="0" w:line="480" w:lineRule="auto"/>
        <w:jc w:val="both"/>
        <w:rPr>
          <w:rStyle w:val="AucunA"/>
          <w:rFonts w:ascii="Times New Roman" w:eastAsia="Times New Roman" w:hAnsi="Times New Roman" w:cs="Times New Roman"/>
          <w:lang w:val="en-US"/>
        </w:rPr>
      </w:pPr>
      <w:r w:rsidRPr="00F4414F">
        <w:rPr>
          <w:rStyle w:val="AucunA"/>
          <w:rFonts w:ascii="Times New Roman" w:hAnsi="Times New Roman"/>
          <w:b/>
          <w:bCs/>
          <w:lang w:val="en-US"/>
        </w:rPr>
        <w:t>Wannes Hubau</w:t>
      </w:r>
      <w:r w:rsidRPr="00F4414F">
        <w:rPr>
          <w:rStyle w:val="AucunA"/>
          <w:rFonts w:ascii="Times New Roman" w:hAnsi="Times New Roman"/>
          <w:lang w:val="en-US"/>
        </w:rPr>
        <w:t xml:space="preserve"> : </w:t>
      </w:r>
      <w:r>
        <w:rPr>
          <w:rStyle w:val="AucunA"/>
          <w:rFonts w:ascii="Times New Roman" w:hAnsi="Times New Roman"/>
          <w:lang w:val="en-US"/>
        </w:rPr>
        <w:t>Royal Museum for Central Africa.</w:t>
      </w:r>
      <w:r w:rsidRPr="00F4414F">
        <w:rPr>
          <w:rStyle w:val="AucunA"/>
          <w:rFonts w:ascii="Times New Roman" w:hAnsi="Times New Roman"/>
          <w:lang w:val="en-US"/>
        </w:rPr>
        <w:t xml:space="preserve"> </w:t>
      </w:r>
      <w:r>
        <w:rPr>
          <w:rStyle w:val="AucunA"/>
          <w:rFonts w:ascii="Times New Roman" w:hAnsi="Times New Roman"/>
          <w:lang w:val="en-US"/>
        </w:rPr>
        <w:t xml:space="preserve">Service of Wood Biology. </w:t>
      </w:r>
      <w:r>
        <w:rPr>
          <w:rStyle w:val="AucunA"/>
          <w:rFonts w:ascii="Times New Roman" w:hAnsi="Times New Roman"/>
          <w:lang w:val="nl-NL"/>
        </w:rPr>
        <w:t>Leuvensesteenweg 13</w:t>
      </w:r>
      <w:r w:rsidRPr="00F4414F">
        <w:rPr>
          <w:rStyle w:val="AucunA"/>
          <w:rFonts w:ascii="Times New Roman" w:hAnsi="Times New Roman"/>
          <w:lang w:val="en-US"/>
        </w:rPr>
        <w:t xml:space="preserve">. 3080 Tervuren (Belgique). </w:t>
      </w:r>
      <w:r>
        <w:rPr>
          <w:rStyle w:val="AucunA"/>
          <w:rFonts w:ascii="Times New Roman" w:hAnsi="Times New Roman"/>
          <w:lang w:val="nl-NL"/>
        </w:rPr>
        <w:t xml:space="preserve">E-mail: </w:t>
      </w:r>
      <w:hyperlink r:id="rId14" w:history="1">
        <w:r w:rsidRPr="00F4414F">
          <w:rPr>
            <w:rStyle w:val="Hyperlink4"/>
            <w:rFonts w:eastAsia="Calibri"/>
            <w:lang w:val="en-US"/>
          </w:rPr>
          <w:t xml:space="preserve">wannes.hubau@africamuseum.be </w:t>
        </w:r>
      </w:hyperlink>
    </w:p>
    <w:p w:rsidR="003A53F7" w:rsidRPr="00D536C7" w:rsidRDefault="00670B5E">
      <w:pPr>
        <w:pStyle w:val="CorpsA"/>
        <w:suppressAutoHyphens/>
        <w:spacing w:after="0" w:line="480" w:lineRule="auto"/>
        <w:jc w:val="both"/>
        <w:rPr>
          <w:rStyle w:val="AucunA"/>
          <w:rFonts w:ascii="Times New Roman" w:hAnsi="Times New Roman"/>
          <w:lang w:val="en-US"/>
        </w:rPr>
      </w:pPr>
      <w:r w:rsidRPr="00F4414F">
        <w:rPr>
          <w:rStyle w:val="AucunA"/>
          <w:rFonts w:ascii="Times New Roman" w:hAnsi="Times New Roman"/>
          <w:b/>
          <w:bCs/>
          <w:lang w:val="en-US"/>
        </w:rPr>
        <w:t>Jan</w:t>
      </w:r>
      <w:r w:rsidRPr="00F4414F">
        <w:rPr>
          <w:rStyle w:val="AucunA"/>
          <w:rFonts w:ascii="Times New Roman" w:hAnsi="Times New Roman"/>
          <w:lang w:val="en-US"/>
        </w:rPr>
        <w:t xml:space="preserve"> </w:t>
      </w:r>
      <w:r>
        <w:rPr>
          <w:rStyle w:val="AucunA"/>
          <w:rFonts w:ascii="Times New Roman" w:hAnsi="Times New Roman"/>
          <w:b/>
          <w:bCs/>
          <w:lang w:val="de-DE"/>
        </w:rPr>
        <w:t xml:space="preserve">Van Den </w:t>
      </w:r>
      <w:r w:rsidR="005B7B68">
        <w:rPr>
          <w:rStyle w:val="AucunA"/>
          <w:rFonts w:ascii="Times New Roman" w:hAnsi="Times New Roman"/>
          <w:b/>
          <w:bCs/>
          <w:lang w:val="de-DE"/>
        </w:rPr>
        <w:t>Bulcke:</w:t>
      </w:r>
      <w:r w:rsidRPr="00F4414F">
        <w:rPr>
          <w:rStyle w:val="AucunA"/>
          <w:rFonts w:ascii="Times New Roman" w:hAnsi="Times New Roman"/>
          <w:lang w:val="en-US"/>
        </w:rPr>
        <w:t xml:space="preserve"> </w:t>
      </w:r>
      <w:r>
        <w:rPr>
          <w:rStyle w:val="AucunA"/>
          <w:rFonts w:ascii="Times New Roman" w:hAnsi="Times New Roman"/>
          <w:lang w:val="en-US"/>
        </w:rPr>
        <w:t xml:space="preserve">Ghent University, Department of Environment, Laboratory of Wood Technology, Ugent-Woodlab. </w:t>
      </w:r>
      <w:r w:rsidRPr="00F4414F">
        <w:rPr>
          <w:rStyle w:val="AucunA"/>
          <w:rFonts w:ascii="Times New Roman" w:hAnsi="Times New Roman"/>
          <w:lang w:val="en-US"/>
        </w:rPr>
        <w:t>Coupure Links 653. 9000 Gand (Belgique). E-</w:t>
      </w:r>
      <w:r w:rsidR="005B7B68" w:rsidRPr="00F4414F">
        <w:rPr>
          <w:rStyle w:val="AucunA"/>
          <w:rFonts w:ascii="Times New Roman" w:hAnsi="Times New Roman"/>
          <w:lang w:val="en-US"/>
        </w:rPr>
        <w:t>mail:</w:t>
      </w:r>
      <w:r w:rsidRPr="00F4414F">
        <w:rPr>
          <w:rStyle w:val="AucunA"/>
          <w:rFonts w:ascii="Times New Roman" w:hAnsi="Times New Roman"/>
          <w:lang w:val="en-US"/>
        </w:rPr>
        <w:t xml:space="preserve"> </w:t>
      </w:r>
      <w:hyperlink r:id="rId15" w:history="1">
        <w:r w:rsidRPr="00F4414F">
          <w:rPr>
            <w:rStyle w:val="Hyperlink5"/>
            <w:rFonts w:eastAsia="Calibri"/>
            <w:lang w:val="en-US"/>
          </w:rPr>
          <w:t>jan.vandenbulcke@ugent.be</w:t>
        </w:r>
      </w:hyperlink>
      <w:r w:rsidRPr="00F4414F">
        <w:rPr>
          <w:rStyle w:val="AucunA"/>
          <w:rFonts w:ascii="Times New Roman" w:hAnsi="Times New Roman"/>
          <w:lang w:val="en-US"/>
        </w:rPr>
        <w:t xml:space="preserve"> </w:t>
      </w:r>
    </w:p>
    <w:p w:rsidR="003A53F7" w:rsidRPr="00F4414F" w:rsidRDefault="00670B5E">
      <w:pPr>
        <w:pStyle w:val="CorpsA"/>
        <w:suppressAutoHyphens/>
        <w:spacing w:after="0" w:line="480" w:lineRule="auto"/>
        <w:jc w:val="both"/>
        <w:rPr>
          <w:rStyle w:val="AucunA"/>
          <w:rFonts w:ascii="Times New Roman" w:eastAsia="Times New Roman" w:hAnsi="Times New Roman" w:cs="Times New Roman"/>
          <w:lang w:val="en-US"/>
        </w:rPr>
      </w:pPr>
      <w:r w:rsidRPr="00F4414F">
        <w:rPr>
          <w:rStyle w:val="AucunA"/>
          <w:rFonts w:ascii="Times New Roman" w:hAnsi="Times New Roman"/>
          <w:b/>
          <w:bCs/>
          <w:lang w:val="en-US"/>
        </w:rPr>
        <w:t xml:space="preserve">Joris Van </w:t>
      </w:r>
      <w:r w:rsidR="00D536C7" w:rsidRPr="00F4414F">
        <w:rPr>
          <w:rStyle w:val="AucunA"/>
          <w:rFonts w:ascii="Times New Roman" w:hAnsi="Times New Roman"/>
          <w:b/>
          <w:bCs/>
          <w:lang w:val="en-US"/>
        </w:rPr>
        <w:t>Acker:</w:t>
      </w:r>
      <w:r w:rsidRPr="00F4414F">
        <w:rPr>
          <w:rStyle w:val="AucunA"/>
          <w:rFonts w:ascii="Times New Roman" w:hAnsi="Times New Roman"/>
          <w:lang w:val="en-US"/>
        </w:rPr>
        <w:t xml:space="preserve"> </w:t>
      </w:r>
      <w:r>
        <w:rPr>
          <w:rStyle w:val="AucunA"/>
          <w:rFonts w:ascii="Times New Roman" w:hAnsi="Times New Roman"/>
          <w:lang w:val="en-US"/>
        </w:rPr>
        <w:t xml:space="preserve">Ghent University, Department of Environment, Laboratory of Wood Technology, Ugent-Woodlab. </w:t>
      </w:r>
      <w:r w:rsidRPr="00F4414F">
        <w:rPr>
          <w:rStyle w:val="AucunA"/>
          <w:rFonts w:ascii="Times New Roman" w:hAnsi="Times New Roman"/>
          <w:lang w:val="en-US"/>
        </w:rPr>
        <w:t>Coupure Links 653. 9000 Gand (Belgique). E-</w:t>
      </w:r>
      <w:r w:rsidR="005B7B68" w:rsidRPr="00F4414F">
        <w:rPr>
          <w:rStyle w:val="AucunA"/>
          <w:rFonts w:ascii="Times New Roman" w:hAnsi="Times New Roman"/>
          <w:lang w:val="en-US"/>
        </w:rPr>
        <w:t>mail:</w:t>
      </w:r>
      <w:r w:rsidRPr="00F4414F">
        <w:rPr>
          <w:rStyle w:val="AucunA"/>
          <w:rFonts w:ascii="Times New Roman" w:hAnsi="Times New Roman"/>
          <w:lang w:val="en-US"/>
        </w:rPr>
        <w:t xml:space="preserve"> </w:t>
      </w:r>
      <w:hyperlink r:id="rId16" w:history="1">
        <w:r w:rsidRPr="00F4414F">
          <w:rPr>
            <w:rStyle w:val="Hyperlink2"/>
            <w:rFonts w:eastAsia="Calibri"/>
            <w:lang w:val="en-US"/>
          </w:rPr>
          <w:t xml:space="preserve">joris.vancker@ugent.be </w:t>
        </w:r>
      </w:hyperlink>
    </w:p>
    <w:p w:rsidR="003A53F7" w:rsidRPr="00F4414F" w:rsidRDefault="00670B5E">
      <w:pPr>
        <w:pStyle w:val="CorpsA"/>
        <w:suppressAutoHyphens/>
        <w:spacing w:after="0" w:line="480" w:lineRule="auto"/>
        <w:jc w:val="both"/>
        <w:rPr>
          <w:rStyle w:val="AucunA"/>
          <w:rFonts w:ascii="Times New Roman" w:eastAsia="Times New Roman" w:hAnsi="Times New Roman" w:cs="Times New Roman"/>
          <w:lang w:val="en-US"/>
        </w:rPr>
      </w:pPr>
      <w:r w:rsidRPr="00F4414F">
        <w:rPr>
          <w:rStyle w:val="AucunA"/>
          <w:rFonts w:ascii="Times New Roman" w:hAnsi="Times New Roman"/>
          <w:b/>
          <w:bCs/>
          <w:lang w:val="en-US"/>
        </w:rPr>
        <w:lastRenderedPageBreak/>
        <w:t>Hans Beeckman :</w:t>
      </w:r>
      <w:r w:rsidRPr="00F4414F">
        <w:rPr>
          <w:rStyle w:val="AucunA"/>
          <w:rFonts w:ascii="Times New Roman" w:hAnsi="Times New Roman"/>
          <w:lang w:val="en-US"/>
        </w:rPr>
        <w:t xml:space="preserve"> </w:t>
      </w:r>
      <w:r>
        <w:rPr>
          <w:rStyle w:val="AucunA"/>
          <w:rFonts w:ascii="Times New Roman" w:hAnsi="Times New Roman"/>
          <w:lang w:val="en-US"/>
        </w:rPr>
        <w:t>Royal Museum for Central Africa.</w:t>
      </w:r>
      <w:r w:rsidRPr="00F4414F">
        <w:rPr>
          <w:rStyle w:val="AucunA"/>
          <w:rFonts w:ascii="Times New Roman" w:hAnsi="Times New Roman"/>
          <w:lang w:val="en-US"/>
        </w:rPr>
        <w:t xml:space="preserve"> </w:t>
      </w:r>
      <w:r>
        <w:rPr>
          <w:rStyle w:val="AucunA"/>
          <w:rFonts w:ascii="Times New Roman" w:hAnsi="Times New Roman"/>
          <w:lang w:val="en-US"/>
        </w:rPr>
        <w:t xml:space="preserve">Service of Wood Biology. </w:t>
      </w:r>
      <w:r>
        <w:rPr>
          <w:rStyle w:val="AucunA"/>
          <w:rFonts w:ascii="Times New Roman" w:hAnsi="Times New Roman"/>
          <w:lang w:val="nl-NL"/>
        </w:rPr>
        <w:t>Leuvensesteenweg 13</w:t>
      </w:r>
      <w:r w:rsidRPr="00F4414F">
        <w:rPr>
          <w:rStyle w:val="AucunA"/>
          <w:rFonts w:ascii="Times New Roman" w:hAnsi="Times New Roman"/>
          <w:lang w:val="en-US"/>
        </w:rPr>
        <w:t>. 3080 Tervuren (Belgique). E-</w:t>
      </w:r>
      <w:r w:rsidR="005B7B68" w:rsidRPr="00F4414F">
        <w:rPr>
          <w:rStyle w:val="AucunA"/>
          <w:rFonts w:ascii="Times New Roman" w:hAnsi="Times New Roman"/>
          <w:lang w:val="en-US"/>
        </w:rPr>
        <w:t>mail:</w:t>
      </w:r>
      <w:r w:rsidRPr="00F4414F">
        <w:rPr>
          <w:rStyle w:val="AucunA"/>
          <w:rFonts w:ascii="Times New Roman" w:hAnsi="Times New Roman"/>
          <w:lang w:val="en-US"/>
        </w:rPr>
        <w:t xml:space="preserve"> </w:t>
      </w:r>
      <w:hyperlink r:id="rId17" w:history="1">
        <w:r w:rsidRPr="00F4414F">
          <w:rPr>
            <w:rStyle w:val="Hyperlink5"/>
            <w:rFonts w:eastAsia="Calibri"/>
            <w:lang w:val="en-US"/>
          </w:rPr>
          <w:t>hans.beeckman@africamuseum.be</w:t>
        </w:r>
      </w:hyperlink>
      <w:r w:rsidRPr="00F4414F">
        <w:rPr>
          <w:rStyle w:val="AucunA"/>
          <w:rFonts w:ascii="Times New Roman" w:hAnsi="Times New Roman"/>
          <w:lang w:val="en-US"/>
        </w:rPr>
        <w:t xml:space="preserve"> </w:t>
      </w:r>
    </w:p>
    <w:p w:rsidR="003A53F7" w:rsidRPr="00F4414F" w:rsidRDefault="00670B5E">
      <w:pPr>
        <w:pStyle w:val="CorpsA"/>
        <w:suppressAutoHyphens/>
        <w:spacing w:after="0" w:line="480" w:lineRule="auto"/>
        <w:jc w:val="both"/>
        <w:rPr>
          <w:rStyle w:val="AucunA"/>
          <w:rFonts w:ascii="Times New Roman" w:eastAsia="Times New Roman" w:hAnsi="Times New Roman" w:cs="Times New Roman"/>
          <w:b/>
          <w:bCs/>
          <w:lang w:val="en-US"/>
        </w:rPr>
      </w:pPr>
      <w:r>
        <w:rPr>
          <w:rStyle w:val="AucunA"/>
          <w:rFonts w:ascii="Times New Roman" w:hAnsi="Times New Roman"/>
          <w:b/>
          <w:bCs/>
          <w:lang w:val="nl-NL"/>
        </w:rPr>
        <w:t xml:space="preserve">Nils Bourland </w:t>
      </w:r>
      <w:r w:rsidRPr="00F4414F">
        <w:rPr>
          <w:rStyle w:val="AucunA"/>
          <w:rFonts w:ascii="Times New Roman" w:hAnsi="Times New Roman"/>
          <w:b/>
          <w:bCs/>
          <w:lang w:val="en-US"/>
        </w:rPr>
        <w:t xml:space="preserve">: </w:t>
      </w:r>
    </w:p>
    <w:p w:rsidR="003A53F7" w:rsidRPr="003457F0" w:rsidRDefault="00670B5E">
      <w:pPr>
        <w:pStyle w:val="CorpsA"/>
        <w:suppressAutoHyphens/>
        <w:spacing w:after="0" w:line="480" w:lineRule="auto"/>
        <w:jc w:val="both"/>
        <w:rPr>
          <w:rStyle w:val="AucunA"/>
          <w:rFonts w:ascii="Times New Roman" w:eastAsia="Times New Roman" w:hAnsi="Times New Roman" w:cs="Times New Roman"/>
        </w:rPr>
      </w:pPr>
      <w:r>
        <w:rPr>
          <w:rStyle w:val="AucunA"/>
          <w:rFonts w:ascii="Times New Roman" w:hAnsi="Times New Roman"/>
          <w:lang w:val="en-US"/>
        </w:rPr>
        <w:t>Royal Museum for Central Africa.</w:t>
      </w:r>
      <w:r w:rsidRPr="00F4414F">
        <w:rPr>
          <w:rStyle w:val="AucunA"/>
          <w:rFonts w:ascii="Times New Roman" w:hAnsi="Times New Roman"/>
          <w:lang w:val="en-US"/>
        </w:rPr>
        <w:t xml:space="preserve"> </w:t>
      </w:r>
      <w:r>
        <w:rPr>
          <w:rStyle w:val="AucunA"/>
          <w:rFonts w:ascii="Times New Roman" w:hAnsi="Times New Roman"/>
          <w:lang w:val="en-US"/>
        </w:rPr>
        <w:t xml:space="preserve">Service of Wood Biology. </w:t>
      </w:r>
      <w:r>
        <w:rPr>
          <w:rStyle w:val="AucunA"/>
          <w:rFonts w:ascii="Times New Roman" w:hAnsi="Times New Roman"/>
          <w:lang w:val="nl-NL"/>
        </w:rPr>
        <w:t>Leuvensesteenweg 13</w:t>
      </w:r>
      <w:r w:rsidRPr="00F4414F">
        <w:rPr>
          <w:rStyle w:val="AucunA"/>
          <w:rFonts w:ascii="Times New Roman" w:hAnsi="Times New Roman"/>
          <w:lang w:val="en-US"/>
        </w:rPr>
        <w:t xml:space="preserve">. </w:t>
      </w:r>
      <w:r w:rsidRPr="003457F0">
        <w:rPr>
          <w:rStyle w:val="AucunA"/>
          <w:rFonts w:ascii="Times New Roman" w:hAnsi="Times New Roman"/>
        </w:rPr>
        <w:t>3080 Tervuren (Belgique).</w:t>
      </w:r>
    </w:p>
    <w:p w:rsidR="003A53F7" w:rsidRPr="003457F0" w:rsidRDefault="00670B5E">
      <w:pPr>
        <w:pStyle w:val="CorpsA"/>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s>
        <w:spacing w:after="0" w:line="480" w:lineRule="auto"/>
        <w:jc w:val="both"/>
        <w:rPr>
          <w:rStyle w:val="AucunA"/>
          <w:rFonts w:ascii="Times New Roman" w:eastAsia="Times New Roman" w:hAnsi="Times New Roman" w:cs="Times New Roman"/>
        </w:rPr>
      </w:pPr>
      <w:r w:rsidRPr="003457F0">
        <w:rPr>
          <w:rStyle w:val="AucunA"/>
          <w:rFonts w:ascii="Times New Roman" w:hAnsi="Times New Roman"/>
        </w:rPr>
        <w:t>Centre de Recherche Forestière Internationale. Situ Gede Bogor Barat 16115</w:t>
      </w:r>
      <w:r>
        <w:rPr>
          <w:rStyle w:val="AucunA"/>
          <w:rFonts w:ascii="Times New Roman" w:hAnsi="Times New Roman"/>
          <w:lang w:val="it-IT"/>
        </w:rPr>
        <w:t xml:space="preserve"> (Indonesi</w:t>
      </w:r>
      <w:r w:rsidRPr="003457F0">
        <w:rPr>
          <w:rStyle w:val="AucunA"/>
          <w:rFonts w:ascii="Times New Roman" w:hAnsi="Times New Roman"/>
        </w:rPr>
        <w:t>e).</w:t>
      </w:r>
    </w:p>
    <w:p w:rsidR="003A53F7" w:rsidRDefault="00670B5E">
      <w:pPr>
        <w:pStyle w:val="CorpsA"/>
        <w:tabs>
          <w:tab w:val="left" w:pos="720"/>
          <w:tab w:val="left" w:pos="1440"/>
          <w:tab w:val="left" w:pos="2160"/>
          <w:tab w:val="left" w:pos="2880"/>
          <w:tab w:val="left" w:pos="3600"/>
          <w:tab w:val="left" w:pos="4320"/>
          <w:tab w:val="left" w:pos="5040"/>
          <w:tab w:val="left" w:pos="5760"/>
          <w:tab w:val="left" w:pos="6480"/>
          <w:tab w:val="left" w:pos="7200"/>
          <w:tab w:val="left" w:pos="7920"/>
          <w:tab w:val="left" w:pos="8564"/>
        </w:tabs>
        <w:spacing w:after="0" w:line="480" w:lineRule="auto"/>
        <w:jc w:val="both"/>
        <w:rPr>
          <w:rStyle w:val="AucunA"/>
          <w:rFonts w:ascii="Times New Roman" w:eastAsia="Times New Roman" w:hAnsi="Times New Roman" w:cs="Times New Roman"/>
        </w:rPr>
      </w:pPr>
      <w:r w:rsidRPr="00642180">
        <w:rPr>
          <w:rStyle w:val="AucunA"/>
          <w:rFonts w:ascii="Times New Roman" w:hAnsi="Times New Roman"/>
        </w:rPr>
        <w:t xml:space="preserve">Resources and Synergies Development. </w:t>
      </w:r>
      <w:r>
        <w:rPr>
          <w:rStyle w:val="AucunA"/>
          <w:rFonts w:ascii="Times New Roman" w:hAnsi="Times New Roman"/>
        </w:rPr>
        <w:t>Noliktavu iela 7, Dreilini, Stopinu novads, Riga 2130 (</w:t>
      </w:r>
      <w:r>
        <w:rPr>
          <w:rStyle w:val="AucunA"/>
          <w:rFonts w:ascii="Times New Roman" w:hAnsi="Times New Roman"/>
          <w:lang w:val="da-DK"/>
        </w:rPr>
        <w:t xml:space="preserve">Lettonie). E-mail: </w:t>
      </w:r>
      <w:hyperlink r:id="rId18" w:history="1">
        <w:r>
          <w:rPr>
            <w:rStyle w:val="Hyperlink6"/>
            <w:rFonts w:eastAsia="Calibri"/>
          </w:rPr>
          <w:t>nils.bourland@aigx.be</w:t>
        </w:r>
      </w:hyperlink>
      <w:r>
        <w:rPr>
          <w:rStyle w:val="AucunA"/>
          <w:rFonts w:ascii="Times New Roman" w:hAnsi="Times New Roman"/>
          <w:lang w:val="da-DK"/>
        </w:rPr>
        <w:t xml:space="preserve"> </w:t>
      </w:r>
    </w:p>
    <w:p w:rsidR="003A53F7" w:rsidRDefault="00670B5E">
      <w:pPr>
        <w:pStyle w:val="Corps"/>
      </w:pPr>
      <w:r>
        <w:rPr>
          <w:rStyle w:val="AucunA"/>
          <w:rFonts w:ascii="Arial Unicode MS" w:hAnsi="Arial Unicode MS"/>
        </w:rPr>
        <w:br w:type="page"/>
      </w:r>
    </w:p>
    <w:p w:rsidR="003A53F7" w:rsidRDefault="00670B5E">
      <w:pPr>
        <w:pStyle w:val="CorpsA"/>
        <w:suppressAutoHyphens/>
        <w:spacing w:after="0" w:line="480" w:lineRule="auto"/>
        <w:jc w:val="both"/>
        <w:rPr>
          <w:rFonts w:ascii="Times New Roman" w:eastAsia="Times New Roman" w:hAnsi="Times New Roman" w:cs="Times New Roman"/>
          <w:b/>
          <w:bCs/>
          <w:sz w:val="24"/>
          <w:szCs w:val="24"/>
        </w:rPr>
      </w:pPr>
      <w:r>
        <w:rPr>
          <w:rStyle w:val="AucunA"/>
          <w:rFonts w:ascii="Times New Roman" w:hAnsi="Times New Roman"/>
          <w:b/>
          <w:bCs/>
          <w:sz w:val="24"/>
          <w:szCs w:val="24"/>
        </w:rPr>
        <w:lastRenderedPageBreak/>
        <w:t>Ré</w:t>
      </w:r>
      <w:r>
        <w:rPr>
          <w:rStyle w:val="AucunA"/>
          <w:rFonts w:ascii="Times New Roman" w:hAnsi="Times New Roman"/>
          <w:b/>
          <w:bCs/>
          <w:sz w:val="24"/>
          <w:szCs w:val="24"/>
          <w:lang w:val="pt-PT"/>
        </w:rPr>
        <w:t>sum</w:t>
      </w:r>
      <w:r>
        <w:rPr>
          <w:rStyle w:val="AucunA"/>
          <w:rFonts w:ascii="Times New Roman" w:hAnsi="Times New Roman"/>
          <w:b/>
          <w:bCs/>
          <w:sz w:val="24"/>
          <w:szCs w:val="24"/>
        </w:rPr>
        <w:t>é</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Description du sujet.</w:t>
      </w:r>
      <w:r>
        <w:rPr>
          <w:rStyle w:val="AucunA"/>
          <w:rFonts w:ascii="Times New Roman" w:hAnsi="Times New Roman"/>
          <w:sz w:val="24"/>
          <w:szCs w:val="24"/>
        </w:rPr>
        <w:t xml:space="preserve"> De par la qualité de leur bois et leurs nombreux usages traditionnels, les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font l’objet d’une importante exploitation, laquelle est susceptible de compromettre leur pérennité en l’absence de gestion durable. La pré</w:t>
      </w:r>
      <w:r>
        <w:rPr>
          <w:rStyle w:val="AucunA"/>
          <w:rFonts w:ascii="Times New Roman" w:hAnsi="Times New Roman"/>
          <w:sz w:val="24"/>
          <w:szCs w:val="24"/>
          <w:lang w:val="it-IT"/>
        </w:rPr>
        <w:t xml:space="preserve">sente </w:t>
      </w:r>
      <w:r>
        <w:rPr>
          <w:rStyle w:val="AucunA"/>
          <w:rFonts w:ascii="Times New Roman" w:hAnsi="Times New Roman"/>
          <w:sz w:val="24"/>
          <w:szCs w:val="24"/>
        </w:rPr>
        <w:t xml:space="preserve">étude dresse un état des lieux de la situation des </w:t>
      </w:r>
      <w:r w:rsidR="00E8776E">
        <w:rPr>
          <w:rStyle w:val="AucunA"/>
          <w:rFonts w:ascii="Times New Roman" w:hAnsi="Times New Roman"/>
          <w:sz w:val="24"/>
          <w:szCs w:val="24"/>
        </w:rPr>
        <w:t xml:space="preserve">cinq </w:t>
      </w:r>
      <w:r>
        <w:rPr>
          <w:rStyle w:val="AucunA"/>
          <w:rFonts w:ascii="Times New Roman" w:hAnsi="Times New Roman"/>
          <w:sz w:val="24"/>
          <w:szCs w:val="24"/>
        </w:rPr>
        <w:t>espèces commerciales principales d’</w:t>
      </w:r>
      <w:r>
        <w:rPr>
          <w:rStyle w:val="AucunA"/>
          <w:rFonts w:ascii="Times New Roman" w:hAnsi="Times New Roman"/>
          <w:i/>
          <w:iCs/>
          <w:sz w:val="24"/>
          <w:szCs w:val="24"/>
        </w:rPr>
        <w:t>Entandrophragma</w:t>
      </w:r>
      <w:r>
        <w:rPr>
          <w:rStyle w:val="AucunA"/>
          <w:rFonts w:ascii="Times New Roman" w:hAnsi="Times New Roman"/>
          <w:sz w:val="24"/>
          <w:szCs w:val="24"/>
        </w:rPr>
        <w:t xml:space="preserve"> à savoir, </w:t>
      </w:r>
      <w:r>
        <w:rPr>
          <w:rStyle w:val="AucunA"/>
          <w:rFonts w:ascii="Times New Roman" w:hAnsi="Times New Roman"/>
          <w:i/>
          <w:iCs/>
          <w:sz w:val="24"/>
          <w:szCs w:val="24"/>
          <w:shd w:val="clear" w:color="auto" w:fill="FFFFFF"/>
          <w:lang w:val="it-IT"/>
        </w:rPr>
        <w:t>Entandrophragma angolense</w:t>
      </w:r>
      <w:r>
        <w:rPr>
          <w:rStyle w:val="AucunA"/>
          <w:rFonts w:ascii="Times New Roman" w:hAnsi="Times New Roman"/>
          <w:sz w:val="24"/>
          <w:szCs w:val="24"/>
          <w:shd w:val="clear" w:color="auto" w:fill="FFFFFF"/>
        </w:rPr>
        <w:t>,</w:t>
      </w:r>
      <w:r w:rsidR="00E8776E">
        <w:rPr>
          <w:rStyle w:val="AucunA"/>
          <w:rFonts w:ascii="Times New Roman" w:hAnsi="Times New Roman"/>
          <w:sz w:val="24"/>
          <w:szCs w:val="24"/>
          <w:shd w:val="clear" w:color="auto" w:fill="FFFFFF"/>
        </w:rPr>
        <w:t xml:space="preserve"> </w:t>
      </w:r>
      <w:r w:rsidR="00E8776E" w:rsidRPr="00F4414F">
        <w:rPr>
          <w:rStyle w:val="AucunA"/>
          <w:rFonts w:ascii="Times New Roman" w:hAnsi="Times New Roman"/>
          <w:i/>
          <w:sz w:val="24"/>
          <w:szCs w:val="24"/>
          <w:shd w:val="clear" w:color="auto" w:fill="FFFFFF"/>
        </w:rPr>
        <w:t xml:space="preserve">E. congoense </w:t>
      </w:r>
      <w:r w:rsidR="00E8776E">
        <w:rPr>
          <w:rStyle w:val="AucunA"/>
          <w:rFonts w:ascii="Times New Roman" w:hAnsi="Times New Roman"/>
          <w:sz w:val="24"/>
          <w:szCs w:val="24"/>
          <w:shd w:val="clear" w:color="auto" w:fill="FFFFFF"/>
        </w:rPr>
        <w:t xml:space="preserve">(souvent assimilée par erreur à </w:t>
      </w:r>
      <w:r w:rsidR="00E8776E" w:rsidRPr="00F4414F">
        <w:rPr>
          <w:rStyle w:val="AucunA"/>
          <w:rFonts w:ascii="Times New Roman" w:hAnsi="Times New Roman"/>
          <w:i/>
          <w:sz w:val="24"/>
          <w:szCs w:val="24"/>
          <w:shd w:val="clear" w:color="auto" w:fill="FFFFFF"/>
        </w:rPr>
        <w:t>E. angolense</w:t>
      </w:r>
      <w:r w:rsidR="00E8776E">
        <w:rPr>
          <w:rStyle w:val="AucunA"/>
          <w:rFonts w:ascii="Times New Roman" w:hAnsi="Times New Roman"/>
          <w:sz w:val="24"/>
          <w:szCs w:val="24"/>
          <w:shd w:val="clear" w:color="auto" w:fill="FFFFFF"/>
        </w:rPr>
        <w:t>)</w:t>
      </w:r>
      <w:r w:rsidR="005B7B68">
        <w:rPr>
          <w:rStyle w:val="AucunA"/>
          <w:rFonts w:ascii="Times New Roman" w:hAnsi="Times New Roman"/>
          <w:sz w:val="24"/>
          <w:szCs w:val="24"/>
          <w:shd w:val="clear" w:color="auto" w:fill="FFFFFF"/>
        </w:rPr>
        <w:t>,</w:t>
      </w:r>
      <w:r>
        <w:rPr>
          <w:rStyle w:val="AucunA"/>
          <w:rFonts w:ascii="Times New Roman" w:hAnsi="Times New Roman"/>
          <w:sz w:val="24"/>
          <w:szCs w:val="24"/>
          <w:shd w:val="clear" w:color="auto" w:fill="FFFFFF"/>
        </w:rPr>
        <w:t xml:space="preserve"> </w:t>
      </w:r>
      <w:r>
        <w:rPr>
          <w:rStyle w:val="AucunA"/>
          <w:rFonts w:ascii="Times New Roman" w:hAnsi="Times New Roman"/>
          <w:i/>
          <w:iCs/>
          <w:sz w:val="24"/>
          <w:szCs w:val="24"/>
          <w:shd w:val="clear" w:color="auto" w:fill="FFFFFF"/>
          <w:lang w:val="it-IT"/>
        </w:rPr>
        <w:t>E. candollei</w:t>
      </w:r>
      <w:r>
        <w:rPr>
          <w:rStyle w:val="AucunA"/>
          <w:rFonts w:ascii="Times New Roman" w:hAnsi="Times New Roman"/>
          <w:sz w:val="24"/>
          <w:szCs w:val="24"/>
          <w:shd w:val="clear" w:color="auto" w:fill="FFFFFF"/>
        </w:rPr>
        <w:t xml:space="preserve">, </w:t>
      </w:r>
      <w:r>
        <w:rPr>
          <w:rStyle w:val="AucunA"/>
          <w:rFonts w:ascii="Times New Roman" w:hAnsi="Times New Roman"/>
          <w:i/>
          <w:iCs/>
          <w:sz w:val="24"/>
          <w:szCs w:val="24"/>
          <w:shd w:val="clear" w:color="auto" w:fill="FFFFFF"/>
        </w:rPr>
        <w:t>E. cylindricum</w:t>
      </w:r>
      <w:r>
        <w:rPr>
          <w:rStyle w:val="AucunA"/>
          <w:rFonts w:ascii="Times New Roman" w:hAnsi="Times New Roman"/>
          <w:sz w:val="24"/>
          <w:szCs w:val="24"/>
          <w:shd w:val="clear" w:color="auto" w:fill="FFFFFF"/>
        </w:rPr>
        <w:t xml:space="preserve">, et </w:t>
      </w:r>
      <w:r>
        <w:rPr>
          <w:rStyle w:val="AucunA"/>
          <w:rFonts w:ascii="Times New Roman" w:hAnsi="Times New Roman"/>
          <w:i/>
          <w:iCs/>
          <w:sz w:val="24"/>
          <w:szCs w:val="24"/>
          <w:shd w:val="clear" w:color="auto" w:fill="FFFFFF"/>
          <w:lang w:val="it-IT"/>
        </w:rPr>
        <w:t xml:space="preserve">E. utile </w:t>
      </w:r>
      <w:r>
        <w:rPr>
          <w:rStyle w:val="AucunA"/>
          <w:rFonts w:ascii="Times New Roman" w:hAnsi="Times New Roman"/>
          <w:sz w:val="24"/>
          <w:szCs w:val="24"/>
        </w:rPr>
        <w:t>et propose des pistes de recherches pour améliorer les stratégies de gestion du genre afin de le préserver et d’en permettre une exploitation durable à long terme</w:t>
      </w:r>
      <w:r>
        <w:rPr>
          <w:rStyle w:val="AucunA"/>
          <w:rFonts w:ascii="Times New Roman" w:hAnsi="Times New Roman"/>
          <w:i/>
          <w:iCs/>
          <w:sz w:val="24"/>
          <w:szCs w:val="24"/>
        </w:rPr>
        <w:t>.</w:t>
      </w:r>
      <w:r>
        <w:rPr>
          <w:rStyle w:val="AucunA"/>
          <w:rFonts w:ascii="Times New Roman" w:hAnsi="Times New Roman"/>
          <w:sz w:val="24"/>
          <w:szCs w:val="24"/>
        </w:rPr>
        <w:t xml:space="preserve">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b/>
          <w:bCs/>
          <w:sz w:val="24"/>
          <w:szCs w:val="24"/>
          <w:shd w:val="clear" w:color="auto" w:fill="FFFFFF"/>
        </w:rPr>
        <w:t>Litté</w:t>
      </w:r>
      <w:r>
        <w:rPr>
          <w:rStyle w:val="AucunA"/>
          <w:rFonts w:ascii="Times New Roman" w:hAnsi="Times New Roman"/>
          <w:b/>
          <w:bCs/>
          <w:sz w:val="24"/>
          <w:szCs w:val="24"/>
          <w:shd w:val="clear" w:color="auto" w:fill="FFFFFF"/>
          <w:lang w:val="it-IT"/>
        </w:rPr>
        <w:t>rature.</w:t>
      </w:r>
      <w:r>
        <w:rPr>
          <w:rStyle w:val="AucunA"/>
          <w:rFonts w:ascii="Times New Roman" w:hAnsi="Times New Roman"/>
          <w:sz w:val="24"/>
          <w:szCs w:val="24"/>
          <w:shd w:val="clear" w:color="auto" w:fill="FFFFFF"/>
        </w:rPr>
        <w:t xml:space="preserve"> Elle a principalement été basée sur les données scientifiques issues de publications, les données économiques (e.g., les statistiques de production et d’exportation), les données juridiques (e.g., lois et réglementations), les plans d’aménagement et rapports d’inventaires ainsi que d’autres documentations pertinentes ayant traité les questions liées  à la gestion des espèces d’</w:t>
      </w:r>
      <w:r>
        <w:rPr>
          <w:rStyle w:val="AucunA"/>
          <w:rFonts w:ascii="Times New Roman" w:hAnsi="Times New Roman"/>
          <w:i/>
          <w:iCs/>
          <w:sz w:val="24"/>
          <w:szCs w:val="24"/>
          <w:shd w:val="clear" w:color="auto" w:fill="FFFFFF"/>
        </w:rPr>
        <w:t xml:space="preserve">Entandrophragma. </w:t>
      </w:r>
      <w:r>
        <w:rPr>
          <w:rStyle w:val="AucunA"/>
          <w:rFonts w:ascii="Times New Roman" w:hAnsi="Times New Roman"/>
          <w:sz w:val="24"/>
          <w:szCs w:val="24"/>
          <w:shd w:val="clear" w:color="auto" w:fill="FFFFFF"/>
        </w:rPr>
        <w:t xml:space="preserve">Les connaissances sur la gestion forestière des </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des forêts denses humides d’Afrique sont encore fragmentaires alors que les quatre espèces principales exploitées, </w:t>
      </w:r>
      <w:r>
        <w:rPr>
          <w:rStyle w:val="AucunA"/>
          <w:rFonts w:ascii="Times New Roman" w:hAnsi="Times New Roman"/>
          <w:i/>
          <w:iCs/>
          <w:sz w:val="24"/>
          <w:szCs w:val="24"/>
          <w:shd w:val="clear" w:color="auto" w:fill="FFFFFF"/>
          <w:lang w:val="it-IT"/>
        </w:rPr>
        <w:t>Entandrophragma angolense</w:t>
      </w:r>
      <w:r w:rsidR="00E8776E">
        <w:rPr>
          <w:rStyle w:val="AucunA"/>
          <w:rFonts w:ascii="Times New Roman" w:hAnsi="Times New Roman"/>
          <w:sz w:val="24"/>
          <w:szCs w:val="24"/>
          <w:shd w:val="clear" w:color="auto" w:fill="FFFFFF"/>
        </w:rPr>
        <w:t>,</w:t>
      </w:r>
      <w:r>
        <w:rPr>
          <w:rStyle w:val="AucunA"/>
          <w:rFonts w:ascii="Times New Roman" w:hAnsi="Times New Roman"/>
          <w:sz w:val="24"/>
          <w:szCs w:val="24"/>
          <w:shd w:val="clear" w:color="auto" w:fill="FFFFFF"/>
        </w:rPr>
        <w:t xml:space="preserve"> </w:t>
      </w:r>
      <w:r>
        <w:rPr>
          <w:rStyle w:val="AucunA"/>
          <w:rFonts w:ascii="Times New Roman" w:hAnsi="Times New Roman"/>
          <w:i/>
          <w:iCs/>
          <w:sz w:val="24"/>
          <w:szCs w:val="24"/>
          <w:shd w:val="clear" w:color="auto" w:fill="FFFFFF"/>
          <w:lang w:val="it-IT"/>
        </w:rPr>
        <w:t>E. candollei</w:t>
      </w:r>
      <w:r>
        <w:rPr>
          <w:rStyle w:val="AucunA"/>
          <w:rFonts w:ascii="Times New Roman" w:hAnsi="Times New Roman"/>
          <w:sz w:val="24"/>
          <w:szCs w:val="24"/>
          <w:shd w:val="clear" w:color="auto" w:fill="FFFFFF"/>
        </w:rPr>
        <w:t xml:space="preserve">, </w:t>
      </w:r>
      <w:r>
        <w:rPr>
          <w:rStyle w:val="AucunA"/>
          <w:rFonts w:ascii="Times New Roman" w:hAnsi="Times New Roman"/>
          <w:i/>
          <w:iCs/>
          <w:sz w:val="24"/>
          <w:szCs w:val="24"/>
          <w:shd w:val="clear" w:color="auto" w:fill="FFFFFF"/>
        </w:rPr>
        <w:t>E. cylindricum</w:t>
      </w:r>
      <w:r>
        <w:rPr>
          <w:rStyle w:val="AucunA"/>
          <w:rFonts w:ascii="Times New Roman" w:hAnsi="Times New Roman"/>
          <w:sz w:val="24"/>
          <w:szCs w:val="24"/>
          <w:shd w:val="clear" w:color="auto" w:fill="FFFFFF"/>
        </w:rPr>
        <w:t xml:space="preserve">, et </w:t>
      </w:r>
      <w:r>
        <w:rPr>
          <w:rStyle w:val="AucunA"/>
          <w:rFonts w:ascii="Times New Roman" w:hAnsi="Times New Roman"/>
          <w:i/>
          <w:iCs/>
          <w:sz w:val="24"/>
          <w:szCs w:val="24"/>
          <w:shd w:val="clear" w:color="auto" w:fill="FFFFFF"/>
          <w:lang w:val="it-IT"/>
        </w:rPr>
        <w:t>E. utile</w:t>
      </w:r>
      <w:r>
        <w:rPr>
          <w:rStyle w:val="AucunA"/>
          <w:rFonts w:ascii="Times New Roman" w:hAnsi="Times New Roman"/>
          <w:sz w:val="24"/>
          <w:szCs w:val="24"/>
          <w:shd w:val="clear" w:color="auto" w:fill="FFFFFF"/>
        </w:rPr>
        <w:t xml:space="preserve">, sont considérées comme « vulnérables » dans la liste rouge de l’UICN. Ces espèces, de par leur valeur économique, continuent d’attiser l’intérêt de certains opérateurs forestiers, d’où une forte exploitation industrielle mais aussi artisanale pour le bois d’œuvre. Celle-ci ne s’effectue pas toujours dans le respect d’un plan d’aménagement validé, ni de la durée des rotations qui permettraient d’atteindre un taux de reconstitution susceptible de pérenniser la ressource que ces espèces représentent.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b/>
          <w:bCs/>
          <w:sz w:val="24"/>
          <w:szCs w:val="24"/>
        </w:rPr>
        <w:t>Conclusion.</w:t>
      </w:r>
      <w:r>
        <w:rPr>
          <w:rStyle w:val="AucunA"/>
          <w:rFonts w:ascii="Times New Roman" w:hAnsi="Times New Roman"/>
          <w:sz w:val="24"/>
          <w:szCs w:val="24"/>
          <w:shd w:val="clear" w:color="auto" w:fill="FFFFFF"/>
        </w:rPr>
        <w:t xml:space="preserve"> La gestion durable des </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exige notamment le développement et le respect de mesures d’aménagement pour pérenniser leur exploitation. Celle-ci doit s’appuyer sur une gestion adéquate des peuplements naturels et sur le reboisement ainsi que </w:t>
      </w:r>
      <w:r>
        <w:rPr>
          <w:rStyle w:val="AucunA"/>
          <w:rFonts w:ascii="Times New Roman" w:hAnsi="Times New Roman"/>
          <w:sz w:val="24"/>
          <w:szCs w:val="24"/>
          <w:shd w:val="clear" w:color="auto" w:fill="FFFFFF"/>
        </w:rPr>
        <w:lastRenderedPageBreak/>
        <w:t>sur des mesures de conservation. Les recherches à développer doivent s’inté</w:t>
      </w:r>
      <w:r>
        <w:rPr>
          <w:rStyle w:val="AucunA"/>
          <w:rFonts w:ascii="Times New Roman" w:hAnsi="Times New Roman"/>
          <w:sz w:val="24"/>
          <w:szCs w:val="24"/>
          <w:shd w:val="clear" w:color="auto" w:fill="FFFFFF"/>
          <w:lang w:val="de-DE"/>
        </w:rPr>
        <w:t xml:space="preserve">resser </w:t>
      </w:r>
      <w:r>
        <w:rPr>
          <w:rStyle w:val="AucunA"/>
          <w:rFonts w:ascii="Times New Roman" w:hAnsi="Times New Roman"/>
          <w:sz w:val="24"/>
          <w:szCs w:val="24"/>
          <w:shd w:val="clear" w:color="auto" w:fill="FFFFFF"/>
        </w:rPr>
        <w:t>à la gestion des espèces exploitées d’</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en lien avec leurs potentiels de production, leur distribution spatiale, leurs milieux et dynamiques de croissance, leur caractérisation et variabilité anatomiques.</w:t>
      </w:r>
    </w:p>
    <w:p w:rsidR="003A53F7" w:rsidRPr="00F4414F" w:rsidRDefault="00670B5E">
      <w:pPr>
        <w:pStyle w:val="CorpsB"/>
        <w:rPr>
          <w:lang w:val="fr-FR"/>
        </w:rPr>
      </w:pPr>
      <w:r>
        <w:rPr>
          <w:rStyle w:val="AucunA"/>
          <w:rFonts w:ascii="Arial Unicode MS" w:eastAsia="Arial Unicode MS" w:hAnsi="Arial Unicode MS" w:cs="Arial Unicode MS"/>
          <w:shd w:val="clear" w:color="auto" w:fill="FFFFFF"/>
        </w:rPr>
        <w:br w:type="page"/>
      </w:r>
    </w:p>
    <w:p w:rsidR="003A53F7" w:rsidRDefault="00670B5E">
      <w:pPr>
        <w:pStyle w:val="CorpsA"/>
        <w:numPr>
          <w:ilvl w:val="0"/>
          <w:numId w:val="2"/>
        </w:numPr>
        <w:suppressAutoHyphens/>
        <w:spacing w:after="0" w:line="480" w:lineRule="auto"/>
        <w:jc w:val="both"/>
        <w:rPr>
          <w:rStyle w:val="AucunA"/>
          <w:rFonts w:ascii="Times New Roman" w:eastAsia="Times New Roman" w:hAnsi="Times New Roman" w:cs="Times New Roman"/>
          <w:b/>
          <w:bCs/>
          <w:sz w:val="24"/>
          <w:szCs w:val="24"/>
          <w:shd w:val="clear" w:color="auto" w:fill="FFFF00"/>
        </w:rPr>
      </w:pPr>
      <w:r>
        <w:rPr>
          <w:rStyle w:val="AucunA"/>
          <w:rFonts w:ascii="Times New Roman" w:hAnsi="Times New Roman"/>
          <w:b/>
          <w:bCs/>
          <w:sz w:val="24"/>
          <w:szCs w:val="24"/>
          <w:shd w:val="clear" w:color="auto" w:fill="FFFFFF"/>
        </w:rPr>
        <w:lastRenderedPageBreak/>
        <w:t>Introduction</w:t>
      </w:r>
    </w:p>
    <w:p w:rsidR="003A53F7" w:rsidRDefault="00670B5E">
      <w:pPr>
        <w:pStyle w:val="CorpsA"/>
        <w:shd w:val="clear" w:color="auto" w:fill="FFFFFF"/>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L’extraction du bois est une des causes directes de la déforestation tropicale (Geist </w:t>
      </w:r>
      <w:r>
        <w:rPr>
          <w:rStyle w:val="AucunA"/>
          <w:rFonts w:ascii="Times New Roman" w:hAnsi="Times New Roman"/>
          <w:i/>
          <w:iCs/>
          <w:sz w:val="24"/>
          <w:szCs w:val="24"/>
        </w:rPr>
        <w:t>et al.</w:t>
      </w:r>
      <w:r>
        <w:rPr>
          <w:rStyle w:val="AucunA"/>
          <w:rFonts w:ascii="Times New Roman" w:hAnsi="Times New Roman"/>
          <w:sz w:val="24"/>
          <w:szCs w:val="24"/>
        </w:rPr>
        <w:t xml:space="preserve">, 2002 ; Gillet </w:t>
      </w:r>
      <w:r>
        <w:rPr>
          <w:rStyle w:val="AucunA"/>
          <w:rFonts w:ascii="Times New Roman" w:hAnsi="Times New Roman"/>
          <w:i/>
          <w:iCs/>
          <w:sz w:val="24"/>
          <w:szCs w:val="24"/>
        </w:rPr>
        <w:t>et al.</w:t>
      </w:r>
      <w:r>
        <w:rPr>
          <w:rStyle w:val="AucunA"/>
          <w:rFonts w:ascii="Times New Roman" w:hAnsi="Times New Roman"/>
          <w:sz w:val="24"/>
          <w:szCs w:val="24"/>
        </w:rPr>
        <w:t>, 2016). Cependant, hormis des cas d’exploitations très intensives du bois en Asie du sud</w:t>
      </w:r>
      <w:r>
        <w:rPr>
          <w:rStyle w:val="AucunA"/>
          <w:rFonts w:ascii="Cambria Math" w:eastAsia="Cambria Math" w:hAnsi="Cambria Math" w:cs="Cambria Math"/>
          <w:sz w:val="24"/>
          <w:szCs w:val="24"/>
        </w:rPr>
        <w:t>-</w:t>
      </w:r>
      <w:r>
        <w:rPr>
          <w:rStyle w:val="AucunA"/>
          <w:rFonts w:ascii="Times New Roman" w:hAnsi="Times New Roman"/>
          <w:sz w:val="24"/>
          <w:szCs w:val="24"/>
        </w:rPr>
        <w:t>est et en Amérique latine, Karsenty et Ongolo (2012) notent que l’exploitation forestière sous les tropiques humides est sélective et qu’il est rare qu’elle conduise directement à un abattage et à des dégâts suffisants pour que l’on puisse pa</w:t>
      </w:r>
      <w:r w:rsidR="003E4122">
        <w:rPr>
          <w:rStyle w:val="AucunA"/>
          <w:rFonts w:ascii="Times New Roman" w:hAnsi="Times New Roman"/>
          <w:sz w:val="24"/>
          <w:szCs w:val="24"/>
        </w:rPr>
        <w:t>rler de déforestation. Dans le b</w:t>
      </w:r>
      <w:r>
        <w:rPr>
          <w:rStyle w:val="AucunA"/>
          <w:rFonts w:ascii="Times New Roman" w:hAnsi="Times New Roman"/>
          <w:sz w:val="24"/>
          <w:szCs w:val="24"/>
        </w:rPr>
        <w:t xml:space="preserve">assin du Congo, Doucet et Kouadio (2007) précisent que le marché du bois est aussi très sélectif et que, en conséquence, l’exploitation est limitée à quelques espèces. Cependant, l’exploitation de tiges de qualité supérieure d’un nombre réduit d’espèces peut devenir un véritable écrémage génétique au sein de ces espèces (Nanson, 2004). Ce risque élevé d’érosion génétique concerne les espèces d’arbres africains d’intérêt économique dont les </w:t>
      </w:r>
      <w:r>
        <w:rPr>
          <w:rStyle w:val="AucunA"/>
          <w:rFonts w:ascii="Times New Roman" w:hAnsi="Times New Roman"/>
          <w:i/>
          <w:iCs/>
          <w:sz w:val="24"/>
          <w:szCs w:val="24"/>
        </w:rPr>
        <w:t>Entandrophragma</w:t>
      </w:r>
      <w:r>
        <w:rPr>
          <w:rStyle w:val="AucunA"/>
          <w:rFonts w:ascii="Times New Roman" w:hAnsi="Times New Roman"/>
          <w:sz w:val="24"/>
          <w:szCs w:val="24"/>
        </w:rPr>
        <w:t>.</w:t>
      </w:r>
    </w:p>
    <w:p w:rsidR="003A53F7" w:rsidRDefault="00670B5E">
      <w:pPr>
        <w:pStyle w:val="CorpsB"/>
        <w:shd w:val="clear" w:color="auto" w:fill="FFFFFF"/>
        <w:suppressAutoHyphens/>
        <w:spacing w:line="480" w:lineRule="auto"/>
        <w:jc w:val="both"/>
        <w:rPr>
          <w:rStyle w:val="AucunA"/>
          <w:shd w:val="clear" w:color="auto" w:fill="FFFFFF"/>
        </w:rPr>
      </w:pPr>
      <w:r>
        <w:rPr>
          <w:rStyle w:val="AucunA"/>
          <w:shd w:val="clear" w:color="auto" w:fill="FFFFFF"/>
        </w:rPr>
        <w:t xml:space="preserve">Le genre </w:t>
      </w:r>
      <w:r>
        <w:rPr>
          <w:rStyle w:val="AucunA"/>
          <w:i/>
          <w:iCs/>
          <w:shd w:val="clear" w:color="auto" w:fill="FFFFFF"/>
        </w:rPr>
        <w:t>Entandrophragma</w:t>
      </w:r>
      <w:r>
        <w:rPr>
          <w:rStyle w:val="AucunA"/>
          <w:shd w:val="clear" w:color="auto" w:fill="FFFFFF"/>
        </w:rPr>
        <w:t xml:space="preserve"> C. DC. co</w:t>
      </w:r>
      <w:r>
        <w:rPr>
          <w:rStyle w:val="AucunAA"/>
        </w:rPr>
        <w:t xml:space="preserve">mprend selon les sources 10 à 12 espèces d’arbres distribuées exclusivement en Afrique tropicale (Kasongo Yakusu </w:t>
      </w:r>
      <w:r>
        <w:rPr>
          <w:rStyle w:val="AucunA"/>
          <w:i/>
          <w:iCs/>
        </w:rPr>
        <w:t>et al.</w:t>
      </w:r>
      <w:r>
        <w:rPr>
          <w:rStyle w:val="AucunAA"/>
        </w:rPr>
        <w:t>, 2018). A</w:t>
      </w:r>
      <w:r>
        <w:rPr>
          <w:rStyle w:val="AucunA"/>
          <w:shd w:val="clear" w:color="auto" w:fill="FFFFFF"/>
        </w:rPr>
        <w:t xml:space="preserve">u sein de la famille des Meliaceae, ce genre est le plus riche en espèces précieuses exploitées comme bois d’œuvre (Tailfer, 1989 ; Kasongo Yakusu </w:t>
      </w:r>
      <w:r>
        <w:rPr>
          <w:rStyle w:val="AucunA"/>
          <w:i/>
          <w:iCs/>
          <w:shd w:val="clear" w:color="auto" w:fill="FFFFFF"/>
        </w:rPr>
        <w:t>et al.</w:t>
      </w:r>
      <w:r>
        <w:rPr>
          <w:rStyle w:val="AucunA"/>
          <w:shd w:val="clear" w:color="auto" w:fill="FFFFFF"/>
        </w:rPr>
        <w:t xml:space="preserve">, 2018) </w:t>
      </w:r>
      <w:r>
        <w:rPr>
          <w:rStyle w:val="AucunAA"/>
        </w:rPr>
        <w:t xml:space="preserve">à des fins industrielles depuis des décennies </w:t>
      </w:r>
      <w:r>
        <w:rPr>
          <w:rStyle w:val="AucunA"/>
          <w:shd w:val="clear" w:color="auto" w:fill="FFFFFF"/>
        </w:rPr>
        <w:t xml:space="preserve">(Lebacq </w:t>
      </w:r>
      <w:r>
        <w:rPr>
          <w:rStyle w:val="AucunA"/>
          <w:i/>
          <w:iCs/>
          <w:shd w:val="clear" w:color="auto" w:fill="FFFFFF"/>
        </w:rPr>
        <w:t>et al.</w:t>
      </w:r>
      <w:r>
        <w:rPr>
          <w:rStyle w:val="AucunA"/>
          <w:shd w:val="clear" w:color="auto" w:fill="FFFFFF"/>
        </w:rPr>
        <w:t>, 1950) en raison de l</w:t>
      </w:r>
      <w:r>
        <w:rPr>
          <w:rStyle w:val="AucunAA"/>
        </w:rPr>
        <w:t>’excellente qualité de leurs bois</w:t>
      </w:r>
      <w:r w:rsidR="0060242D">
        <w:rPr>
          <w:rStyle w:val="AucunAA"/>
        </w:rPr>
        <w:t xml:space="preserve"> à usage</w:t>
      </w:r>
      <w:r w:rsidR="00A63C5A">
        <w:rPr>
          <w:rStyle w:val="AucunAA"/>
        </w:rPr>
        <w:t xml:space="preserve"> multiple</w:t>
      </w:r>
      <w:r>
        <w:rPr>
          <w:rStyle w:val="AucunAA"/>
        </w:rPr>
        <w:t xml:space="preserve">. </w:t>
      </w:r>
      <w:r>
        <w:rPr>
          <w:rStyle w:val="AucunA"/>
          <w:shd w:val="clear" w:color="auto" w:fill="FFFFFF"/>
        </w:rPr>
        <w:t xml:space="preserve">Lescuyer </w:t>
      </w:r>
      <w:r>
        <w:rPr>
          <w:rStyle w:val="AucunA"/>
          <w:i/>
          <w:iCs/>
          <w:shd w:val="clear" w:color="auto" w:fill="FFFFFF"/>
        </w:rPr>
        <w:t>et al.</w:t>
      </w:r>
      <w:r>
        <w:rPr>
          <w:rStyle w:val="AucunA"/>
          <w:shd w:val="clear" w:color="auto" w:fill="FFFFFF"/>
        </w:rPr>
        <w:t xml:space="preserve"> (2012) montrent qu’elles font aussi l’objet d’une exploitation artisanale au cours des dernières années</w:t>
      </w:r>
      <w:r>
        <w:rPr>
          <w:rStyle w:val="AucunA"/>
          <w:lang w:val="it-IT"/>
        </w:rPr>
        <w:t>. La qualit</w:t>
      </w:r>
      <w:r>
        <w:rPr>
          <w:rStyle w:val="AucunAA"/>
        </w:rPr>
        <w:t xml:space="preserve">é technologique du bois et donc sa valeur commerciale varient d’une espèce à l’autre. Les espèces des forêts denses humides, </w:t>
      </w:r>
      <w:r>
        <w:rPr>
          <w:rStyle w:val="AucunA"/>
          <w:i/>
          <w:iCs/>
          <w:lang w:val="it-IT"/>
        </w:rPr>
        <w:t>E. angolense</w:t>
      </w:r>
      <w:r>
        <w:rPr>
          <w:rStyle w:val="AucunAA"/>
        </w:rPr>
        <w:t xml:space="preserve"> C. DC. (nom commercial : tiama blanc), </w:t>
      </w:r>
      <w:r>
        <w:rPr>
          <w:rStyle w:val="AucunA"/>
          <w:i/>
          <w:iCs/>
          <w:lang w:val="it-IT"/>
        </w:rPr>
        <w:t xml:space="preserve">E. candollei </w:t>
      </w:r>
      <w:r>
        <w:rPr>
          <w:rStyle w:val="AucunAA"/>
        </w:rPr>
        <w:t xml:space="preserve">Harms (kosipo), </w:t>
      </w:r>
      <w:r>
        <w:rPr>
          <w:rStyle w:val="AucunA"/>
          <w:i/>
          <w:iCs/>
          <w:lang w:val="pt-PT"/>
        </w:rPr>
        <w:t>E. congo</w:t>
      </w:r>
      <w:r>
        <w:rPr>
          <w:rStyle w:val="AucunA"/>
          <w:i/>
          <w:iCs/>
        </w:rPr>
        <w:t xml:space="preserve">ense </w:t>
      </w:r>
      <w:r>
        <w:rPr>
          <w:rStyle w:val="AucunAA"/>
        </w:rPr>
        <w:t xml:space="preserve">(Pierre ex De Wild.) (tiama noir), </w:t>
      </w:r>
      <w:r>
        <w:rPr>
          <w:rStyle w:val="AucunA"/>
          <w:i/>
          <w:iCs/>
        </w:rPr>
        <w:t xml:space="preserve">E. cylindricum </w:t>
      </w:r>
      <w:r>
        <w:rPr>
          <w:rStyle w:val="AucunA"/>
          <w:lang w:val="es-ES_tradnl"/>
        </w:rPr>
        <w:t xml:space="preserve">Sprague </w:t>
      </w:r>
      <w:r>
        <w:rPr>
          <w:rStyle w:val="AucunAA"/>
        </w:rPr>
        <w:t>(sapelli)</w:t>
      </w:r>
      <w:r>
        <w:rPr>
          <w:rStyle w:val="AucunA"/>
          <w:lang w:val="es-ES_tradnl"/>
        </w:rPr>
        <w:t xml:space="preserve">, </w:t>
      </w:r>
      <w:r>
        <w:rPr>
          <w:rStyle w:val="AucunAA"/>
        </w:rPr>
        <w:t xml:space="preserve">et </w:t>
      </w:r>
      <w:r>
        <w:rPr>
          <w:rStyle w:val="AucunA"/>
          <w:i/>
          <w:iCs/>
          <w:lang w:val="it-IT"/>
        </w:rPr>
        <w:t>E. utile</w:t>
      </w:r>
      <w:r>
        <w:rPr>
          <w:rStyle w:val="AucunA"/>
          <w:lang w:val="it-IT"/>
        </w:rPr>
        <w:t xml:space="preserve"> Sprague </w:t>
      </w:r>
      <w:r>
        <w:rPr>
          <w:rStyle w:val="AucunAA"/>
        </w:rPr>
        <w:t>(sipo)</w:t>
      </w:r>
      <w:r>
        <w:rPr>
          <w:rStyle w:val="AucunA"/>
          <w:lang w:val="it-IT"/>
        </w:rPr>
        <w:t xml:space="preserve">, s’étendent en une large bande au nord et au sud de l’équateur à partir du littoral atlantique jusqu’au versant occidental de la dorsale du Kivu à l’est, en passant par le bassin du Congo (White, 1986; Kasongo Yakusu et </w:t>
      </w:r>
      <w:r w:rsidRPr="00F4414F">
        <w:rPr>
          <w:rStyle w:val="AucunA"/>
          <w:i/>
          <w:lang w:val="it-IT"/>
        </w:rPr>
        <w:t>al.</w:t>
      </w:r>
      <w:r>
        <w:rPr>
          <w:rStyle w:val="AucunA"/>
          <w:lang w:val="it-IT"/>
        </w:rPr>
        <w:t>, 2018)</w:t>
      </w:r>
      <w:r>
        <w:rPr>
          <w:rStyle w:val="AucunA"/>
        </w:rPr>
        <w:t xml:space="preserve"> et </w:t>
      </w:r>
      <w:r>
        <w:rPr>
          <w:rStyle w:val="AucunA"/>
          <w:shd w:val="clear" w:color="auto" w:fill="FFFFFF"/>
        </w:rPr>
        <w:t xml:space="preserve">sont parmi les plus </w:t>
      </w:r>
      <w:r>
        <w:rPr>
          <w:rStyle w:val="AucunA"/>
          <w:shd w:val="clear" w:color="auto" w:fill="FFFFFF"/>
        </w:rPr>
        <w:lastRenderedPageBreak/>
        <w:t xml:space="preserve">précieuses (Hall, 2008 ; IITO, 2017). En République centrafricaine (RCA) par exemple elles représentent plus de 70% du volume total de bois exporté (Hall, 2008). </w:t>
      </w:r>
      <w:r>
        <w:rPr>
          <w:rStyle w:val="AucunAA"/>
        </w:rPr>
        <w:t>Elles ont été abondamment exploitées en Afrique de l’Ouest. La Côte d’Ivoire a exporté plus de 3,7 millions de mètres cubes de grumes d’</w:t>
      </w:r>
      <w:r>
        <w:rPr>
          <w:rStyle w:val="AucunA"/>
          <w:i/>
          <w:iCs/>
        </w:rPr>
        <w:t>Entandrophragma</w:t>
      </w:r>
      <w:r>
        <w:rPr>
          <w:rStyle w:val="AucunAA"/>
        </w:rPr>
        <w:t xml:space="preserve"> et de 400 000 mètres cubes de sciages entre 1970 et 1974</w:t>
      </w:r>
      <w:r>
        <w:rPr>
          <w:rStyle w:val="FootnoteReference"/>
        </w:rPr>
        <w:footnoteReference w:id="2"/>
      </w:r>
      <w:r>
        <w:rPr>
          <w:rStyle w:val="AucunAA"/>
        </w:rPr>
        <w:t xml:space="preserve">. L’exploitation de ces espèces s’est tarie en Afrique de l’ouest mais s’est déplacée vers l’Afrique centrale (Bayol </w:t>
      </w:r>
      <w:r>
        <w:rPr>
          <w:rStyle w:val="AucunA"/>
          <w:i/>
          <w:iCs/>
        </w:rPr>
        <w:t>et al.</w:t>
      </w:r>
      <w:r>
        <w:rPr>
          <w:rStyle w:val="AucunAA"/>
        </w:rPr>
        <w:t xml:space="preserve">, 2012). </w:t>
      </w:r>
    </w:p>
    <w:p w:rsidR="003A53F7" w:rsidRDefault="00670B5E">
      <w:pPr>
        <w:pStyle w:val="CorpsA"/>
        <w:shd w:val="clear" w:color="auto" w:fill="FFFFFF"/>
        <w:suppressAutoHyphens/>
        <w:spacing w:after="0" w:line="480" w:lineRule="auto"/>
        <w:jc w:val="both"/>
        <w:rPr>
          <w:rStyle w:val="AucunA"/>
          <w:sz w:val="24"/>
          <w:szCs w:val="24"/>
          <w:shd w:val="clear" w:color="auto" w:fill="FFFFFF"/>
        </w:rPr>
      </w:pPr>
      <w:r>
        <w:rPr>
          <w:rStyle w:val="AucunA"/>
          <w:rFonts w:ascii="Times New Roman" w:hAnsi="Times New Roman"/>
          <w:sz w:val="24"/>
          <w:szCs w:val="24"/>
          <w:shd w:val="clear" w:color="auto" w:fill="FFFFFF"/>
        </w:rPr>
        <w:t>Ces cinq espèces principales d’</w:t>
      </w:r>
      <w:r>
        <w:rPr>
          <w:rStyle w:val="AucunA"/>
          <w:rFonts w:ascii="Times New Roman" w:hAnsi="Times New Roman"/>
          <w:i/>
          <w:iCs/>
          <w:sz w:val="24"/>
          <w:szCs w:val="24"/>
          <w:shd w:val="clear" w:color="auto" w:fill="FFFFFF"/>
        </w:rPr>
        <w:t>Entandrophragma</w:t>
      </w:r>
      <w:r>
        <w:rPr>
          <w:rStyle w:val="AucunA"/>
          <w:sz w:val="24"/>
          <w:szCs w:val="24"/>
        </w:rPr>
        <w:t xml:space="preserve"> </w:t>
      </w:r>
      <w:r>
        <w:rPr>
          <w:rStyle w:val="AucunA"/>
          <w:rFonts w:ascii="Times New Roman" w:hAnsi="Times New Roman"/>
          <w:sz w:val="24"/>
          <w:szCs w:val="24"/>
          <w:shd w:val="clear" w:color="auto" w:fill="FFFFFF"/>
        </w:rPr>
        <w:t xml:space="preserve">exploitées croissent dans les forêts denses humides sempervirentes et semi-décidues (Meunier </w:t>
      </w:r>
      <w:r>
        <w:rPr>
          <w:rStyle w:val="AucunA"/>
          <w:rFonts w:ascii="Times New Roman" w:hAnsi="Times New Roman"/>
          <w:i/>
          <w:iCs/>
          <w:sz w:val="24"/>
          <w:szCs w:val="24"/>
          <w:shd w:val="clear" w:color="auto" w:fill="FFFFFF"/>
        </w:rPr>
        <w:t>et al.</w:t>
      </w:r>
      <w:r>
        <w:rPr>
          <w:rStyle w:val="AucunA"/>
          <w:rFonts w:ascii="Times New Roman" w:hAnsi="Times New Roman"/>
          <w:sz w:val="24"/>
          <w:szCs w:val="24"/>
          <w:shd w:val="clear" w:color="auto" w:fill="FFFFFF"/>
        </w:rPr>
        <w:t xml:space="preserve">, 2015 ; Kasongo Yakusu </w:t>
      </w:r>
      <w:r>
        <w:rPr>
          <w:rStyle w:val="AucunA"/>
          <w:rFonts w:ascii="Times New Roman" w:hAnsi="Times New Roman"/>
          <w:i/>
          <w:iCs/>
          <w:sz w:val="24"/>
          <w:szCs w:val="24"/>
          <w:shd w:val="clear" w:color="auto" w:fill="FFFFFF"/>
        </w:rPr>
        <w:t>et al.</w:t>
      </w:r>
      <w:r>
        <w:rPr>
          <w:rStyle w:val="AucunA"/>
          <w:rFonts w:ascii="Times New Roman" w:hAnsi="Times New Roman"/>
          <w:sz w:val="24"/>
          <w:szCs w:val="24"/>
          <w:shd w:val="clear" w:color="auto" w:fill="FFFFFF"/>
        </w:rPr>
        <w:t xml:space="preserve">, 2018) et ont ainsi fait l’objet de prélèvements tels qu’elles n’ont pu être remplacées par </w:t>
      </w:r>
      <w:r>
        <w:rPr>
          <w:rStyle w:val="AucunA"/>
          <w:rFonts w:ascii="Times New Roman" w:hAnsi="Times New Roman"/>
          <w:sz w:val="24"/>
          <w:szCs w:val="24"/>
          <w:shd w:val="clear" w:color="auto" w:fill="FFFFFF"/>
          <w:lang w:val="it-IT"/>
        </w:rPr>
        <w:t xml:space="preserve">leur </w:t>
      </w:r>
      <w:r>
        <w:rPr>
          <w:rStyle w:val="AucunA"/>
          <w:rFonts w:ascii="Times New Roman" w:hAnsi="Times New Roman"/>
          <w:sz w:val="24"/>
          <w:szCs w:val="24"/>
          <w:shd w:val="clear" w:color="auto" w:fill="FFFFFF"/>
        </w:rPr>
        <w:t>régénération naturelle. Celle-ci est parfois déficiente en conditions naturelles (Lemmens, 2008). Cet état de fait a engendré de sérieuses inquiétudes quant aux risques en matière de conservation qui pèsent sur ces espèces, maintenant inscrites comme espèces « vulnérables » sur la liste rouge de l’UICN (UICN, 2012).</w:t>
      </w:r>
      <w:r>
        <w:rPr>
          <w:rStyle w:val="AucunA"/>
          <w:sz w:val="24"/>
          <w:szCs w:val="24"/>
          <w:shd w:val="clear" w:color="auto" w:fill="FFFFFF"/>
        </w:rPr>
        <w:t xml:space="preserve"> </w:t>
      </w:r>
      <w:r>
        <w:rPr>
          <w:rStyle w:val="AucunA"/>
          <w:rFonts w:ascii="Times New Roman" w:hAnsi="Times New Roman"/>
          <w:sz w:val="24"/>
          <w:szCs w:val="24"/>
          <w:shd w:val="clear" w:color="auto" w:fill="FFFFFF"/>
        </w:rPr>
        <w:t>L’inscription à cette caté</w:t>
      </w:r>
      <w:r>
        <w:rPr>
          <w:rStyle w:val="AucunA"/>
          <w:rFonts w:ascii="Times New Roman" w:hAnsi="Times New Roman"/>
          <w:sz w:val="24"/>
          <w:szCs w:val="24"/>
          <w:shd w:val="clear" w:color="auto" w:fill="FFFFFF"/>
          <w:lang w:val="it-IT"/>
        </w:rPr>
        <w:t>gorie n</w:t>
      </w:r>
      <w:r>
        <w:rPr>
          <w:rStyle w:val="AucunA"/>
          <w:rFonts w:ascii="Times New Roman" w:hAnsi="Times New Roman"/>
          <w:sz w:val="24"/>
          <w:szCs w:val="24"/>
          <w:shd w:val="clear" w:color="auto" w:fill="FFFFFF"/>
        </w:rPr>
        <w:t xml:space="preserve">’a pas pour but d’interdire leur exploitation, </w:t>
      </w:r>
      <w:r>
        <w:rPr>
          <w:rStyle w:val="AucunA"/>
          <w:rFonts w:ascii="Times New Roman" w:hAnsi="Times New Roman"/>
          <w:sz w:val="24"/>
          <w:szCs w:val="24"/>
          <w:shd w:val="clear" w:color="auto" w:fill="FFFFFF"/>
          <w:lang w:val="pt-PT"/>
        </w:rPr>
        <w:t xml:space="preserve">mais </w:t>
      </w:r>
      <w:r>
        <w:rPr>
          <w:rStyle w:val="AucunA"/>
          <w:rFonts w:ascii="Times New Roman" w:hAnsi="Times New Roman"/>
          <w:sz w:val="24"/>
          <w:szCs w:val="24"/>
          <w:shd w:val="clear" w:color="auto" w:fill="FFFFFF"/>
        </w:rPr>
        <w:t>plutôt d’attirer l’attention des gestionnaires forestiers (e.g., l’Etat et les exploitants forestiers) sur la nécessité de mettre en place les conditions d’une gestion durable des ressources forestières et de ces espèces. Le statut de conservation des espèces d’</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sera certainement appelé à évoluer en fonction des conditions de leur exploitation, de leur régénération et de la réduction des populations. Il convient donc de dresser un état de lieux de leur exploitation et de leur régénération tout en prenant en compte leur importance économique ainsi que la législation et la réglementation en matière de gestion de la ressource. Il est donc important de collecter des informations pertinentes sur leur dynamique de croissance, leurs exigences environnementales, sur les propriétés anatomiques et technologiques de leurs bois, et sur leurs valeurs économiques et sociales. </w:t>
      </w:r>
    </w:p>
    <w:p w:rsidR="003A53F7" w:rsidRDefault="00670B5E">
      <w:pPr>
        <w:pStyle w:val="CorpsA"/>
        <w:shd w:val="clear" w:color="auto" w:fill="FFFFFF"/>
        <w:suppressAutoHyphens/>
        <w:spacing w:after="0" w:line="480" w:lineRule="auto"/>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lastRenderedPageBreak/>
        <w:t>La présente revue de la littérature veut rassembler et analyser les connaissances publiées sur les espèces d’</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les plus exploitées en Afrique (sapelli, sipo, kosipo, tiamas blanc et noir) en vue de : </w:t>
      </w:r>
    </w:p>
    <w:p w:rsidR="003A53F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caractériser leur croissance et la qualité de leur bois ;</w:t>
      </w:r>
    </w:p>
    <w:p w:rsidR="003A53F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évaluer l’importance de leur exploitation ;</w:t>
      </w:r>
    </w:p>
    <w:p w:rsidR="003A53F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décrire leur situation économique, industrielle et commerciale ;</w:t>
      </w:r>
    </w:p>
    <w:p w:rsidR="003A53F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 xml:space="preserve">faire l’état des mesures légales et réglementaires en matière d’aménagement et de gestion ; </w:t>
      </w:r>
    </w:p>
    <w:p w:rsidR="003A53F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 xml:space="preserve">discuter de la pertinence de leur statut de conservation en tenant compte des pressions anthropiques sur leurs populations ;  </w:t>
      </w:r>
    </w:p>
    <w:p w:rsidR="003A53F7" w:rsidRPr="00D536C7" w:rsidRDefault="00670B5E">
      <w:pPr>
        <w:pStyle w:val="CorpsA"/>
        <w:numPr>
          <w:ilvl w:val="0"/>
          <w:numId w:val="4"/>
        </w:numPr>
        <w:shd w:val="clear" w:color="auto" w:fill="FFFFFF"/>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sz w:val="24"/>
          <w:szCs w:val="24"/>
          <w:shd w:val="clear" w:color="auto" w:fill="FFFFFF"/>
        </w:rPr>
        <w:t xml:space="preserve">dégager les thématiques de recherches nécessaires à leur conservation et à la pérennisation de leur exploitation. </w:t>
      </w:r>
    </w:p>
    <w:p w:rsidR="00D536C7" w:rsidRDefault="00D536C7" w:rsidP="00D536C7">
      <w:pPr>
        <w:pStyle w:val="CorpsA"/>
        <w:shd w:val="clear" w:color="auto" w:fill="FFFFFF"/>
        <w:suppressAutoHyphens/>
        <w:spacing w:after="0" w:line="480" w:lineRule="auto"/>
        <w:ind w:left="720"/>
        <w:jc w:val="both"/>
        <w:rPr>
          <w:rStyle w:val="AucunA"/>
          <w:rFonts w:ascii="Times New Roman" w:eastAsia="Times New Roman" w:hAnsi="Times New Roman" w:cs="Times New Roman"/>
          <w:sz w:val="24"/>
          <w:szCs w:val="24"/>
          <w:shd w:val="clear" w:color="auto" w:fill="FFFFFF"/>
        </w:rPr>
      </w:pPr>
    </w:p>
    <w:p w:rsidR="003A53F7" w:rsidRDefault="00670B5E">
      <w:pPr>
        <w:pStyle w:val="CorpsA"/>
        <w:numPr>
          <w:ilvl w:val="0"/>
          <w:numId w:val="5"/>
        </w:numPr>
        <w:suppressAutoHyphens/>
        <w:spacing w:after="0" w:line="480" w:lineRule="auto"/>
        <w:jc w:val="both"/>
        <w:rPr>
          <w:rStyle w:val="AucunA"/>
          <w:rFonts w:ascii="Times New Roman" w:eastAsia="Times New Roman" w:hAnsi="Times New Roman" w:cs="Times New Roman"/>
          <w:b/>
          <w:bCs/>
          <w:sz w:val="24"/>
          <w:szCs w:val="24"/>
          <w:shd w:val="clear" w:color="auto" w:fill="FFFFFF"/>
        </w:rPr>
      </w:pPr>
      <w:r>
        <w:rPr>
          <w:rStyle w:val="AucunA"/>
          <w:rFonts w:ascii="Times New Roman" w:hAnsi="Times New Roman"/>
          <w:b/>
          <w:bCs/>
          <w:sz w:val="24"/>
          <w:szCs w:val="24"/>
          <w:shd w:val="clear" w:color="auto" w:fill="FFFFFF"/>
        </w:rPr>
        <w:t>Dynamique de croissance</w:t>
      </w:r>
    </w:p>
    <w:p w:rsidR="003A53F7" w:rsidRDefault="00670B5E" w:rsidP="003E4122">
      <w:pPr>
        <w:pStyle w:val="CorpsA"/>
        <w:numPr>
          <w:ilvl w:val="1"/>
          <w:numId w:val="5"/>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shd w:val="clear" w:color="auto" w:fill="FFFFFF"/>
        </w:rPr>
        <w:t>A</w:t>
      </w:r>
      <w:r>
        <w:rPr>
          <w:rStyle w:val="AucunA"/>
          <w:rFonts w:ascii="Times New Roman" w:hAnsi="Times New Roman"/>
          <w:b/>
          <w:bCs/>
          <w:sz w:val="24"/>
          <w:szCs w:val="24"/>
        </w:rPr>
        <w:t xml:space="preserve">nalyses de </w:t>
      </w:r>
      <w:r w:rsidRPr="00F4414F">
        <w:rPr>
          <w:rStyle w:val="AucunA"/>
          <w:rFonts w:ascii="Times New Roman" w:hAnsi="Times New Roman" w:cs="Times New Roman"/>
          <w:b/>
          <w:bCs/>
          <w:sz w:val="24"/>
          <w:szCs w:val="24"/>
        </w:rPr>
        <w:t>cernes</w:t>
      </w:r>
      <w:r w:rsidRPr="00F4414F">
        <w:rPr>
          <w:rFonts w:ascii="Times New Roman" w:hAnsi="Times New Roman" w:cs="Times New Roman"/>
          <w:b/>
          <w:sz w:val="24"/>
          <w:szCs w:val="24"/>
        </w:rPr>
        <w:t xml:space="preserve"> et rythme de croissance</w:t>
      </w:r>
    </w:p>
    <w:p w:rsidR="003A53F7" w:rsidRDefault="00670B5E">
      <w:pPr>
        <w:pStyle w:val="CorpsA"/>
        <w:suppressAutoHyphens/>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Analyses de cernes.</w:t>
      </w:r>
      <w:r>
        <w:rPr>
          <w:rStyle w:val="AucunA"/>
          <w:rFonts w:ascii="Times New Roman" w:hAnsi="Times New Roman"/>
          <w:sz w:val="24"/>
          <w:szCs w:val="24"/>
        </w:rPr>
        <w:t xml:space="preserve"> </w:t>
      </w:r>
      <w:r w:rsidRPr="00DF4D53">
        <w:rPr>
          <w:rStyle w:val="AucunA"/>
          <w:rFonts w:ascii="Times New Roman" w:hAnsi="Times New Roman"/>
          <w:sz w:val="24"/>
          <w:szCs w:val="24"/>
        </w:rPr>
        <w:t>Le c</w:t>
      </w:r>
      <w:r w:rsidRPr="00F4414F">
        <w:rPr>
          <w:rStyle w:val="AucunA"/>
          <w:rFonts w:ascii="Times New Roman" w:hAnsi="Times New Roman"/>
          <w:sz w:val="24"/>
          <w:szCs w:val="24"/>
        </w:rPr>
        <w:t xml:space="preserve">erne de croissance est une couche de croissance ultérieure de xylème ou de </w:t>
      </w:r>
      <w:r w:rsidR="00D536C7" w:rsidRPr="00F4414F">
        <w:rPr>
          <w:rStyle w:val="AucunA"/>
          <w:rFonts w:ascii="Times New Roman" w:hAnsi="Times New Roman"/>
          <w:sz w:val="24"/>
          <w:szCs w:val="24"/>
        </w:rPr>
        <w:t>phloème</w:t>
      </w:r>
      <w:r w:rsidRPr="00F4414F">
        <w:rPr>
          <w:rStyle w:val="AucunA"/>
          <w:rFonts w:ascii="Times New Roman" w:hAnsi="Times New Roman"/>
          <w:sz w:val="24"/>
          <w:szCs w:val="24"/>
          <w:lang w:val="it-IT"/>
        </w:rPr>
        <w:t>me sugg</w:t>
      </w:r>
      <w:r w:rsidRPr="00F4414F">
        <w:rPr>
          <w:rStyle w:val="AucunA"/>
          <w:rFonts w:ascii="Times New Roman" w:hAnsi="Times New Roman"/>
          <w:sz w:val="24"/>
          <w:szCs w:val="24"/>
        </w:rPr>
        <w:t>érant une pé</w:t>
      </w:r>
      <w:r w:rsidRPr="00F4414F">
        <w:rPr>
          <w:rStyle w:val="AucunA"/>
          <w:rFonts w:ascii="Times New Roman" w:hAnsi="Times New Roman"/>
          <w:sz w:val="24"/>
          <w:szCs w:val="24"/>
          <w:lang w:val="it-IT"/>
        </w:rPr>
        <w:t>riodicit</w:t>
      </w:r>
      <w:r w:rsidRPr="00F4414F">
        <w:rPr>
          <w:rStyle w:val="AucunA"/>
          <w:rFonts w:ascii="Times New Roman" w:hAnsi="Times New Roman"/>
          <w:sz w:val="24"/>
          <w:szCs w:val="24"/>
        </w:rPr>
        <w:t xml:space="preserve">é de croissance, tandis qu’un faux cerne est une zone de croissance supplémentaire, apparemment complète, aux limites bien définies, formée au cours d'une saison de croissance </w:t>
      </w:r>
      <w:r w:rsidRPr="00F4414F">
        <w:rPr>
          <w:rStyle w:val="AucunA"/>
          <w:rFonts w:ascii="Times New Roman" w:hAnsi="Times New Roman"/>
          <w:sz w:val="24"/>
          <w:szCs w:val="24"/>
          <w:lang w:val="de-DE"/>
        </w:rPr>
        <w:t>(Kaennel et Schweingruber, 1995</w:t>
      </w:r>
      <w:r w:rsidRPr="00F4414F">
        <w:rPr>
          <w:rStyle w:val="AucunA"/>
          <w:rFonts w:ascii="Times New Roman" w:hAnsi="Times New Roman"/>
          <w:sz w:val="24"/>
          <w:szCs w:val="24"/>
        </w:rPr>
        <w:t xml:space="preserve">; Dié </w:t>
      </w:r>
      <w:r w:rsidRPr="00F4414F">
        <w:rPr>
          <w:rStyle w:val="AucunA"/>
          <w:rFonts w:ascii="Times New Roman" w:hAnsi="Times New Roman"/>
          <w:i/>
          <w:iCs/>
          <w:sz w:val="24"/>
          <w:szCs w:val="24"/>
        </w:rPr>
        <w:t>et al.</w:t>
      </w:r>
      <w:r w:rsidRPr="00F4414F">
        <w:rPr>
          <w:rStyle w:val="AucunA"/>
          <w:rFonts w:ascii="Times New Roman" w:hAnsi="Times New Roman"/>
          <w:sz w:val="24"/>
          <w:szCs w:val="24"/>
        </w:rPr>
        <w:t xml:space="preserve">, 2012). La classification des cernes de </w:t>
      </w:r>
      <w:r w:rsidRPr="00D536C7">
        <w:rPr>
          <w:rStyle w:val="AucunA"/>
          <w:rFonts w:ascii="Times New Roman" w:hAnsi="Times New Roman"/>
          <w:sz w:val="24"/>
          <w:szCs w:val="24"/>
        </w:rPr>
        <w:t>croissance du xylème en fonction de la structure et du caractère distinctif est donnée par le Comité d’IAWA (1989). L’analyse de cernes d’un arbre joue de multiples rôles, notamment l’évaluation du rythme de croissance</w:t>
      </w:r>
      <w:r w:rsidR="00D536C7">
        <w:rPr>
          <w:rStyle w:val="AucunA"/>
          <w:rFonts w:ascii="Times New Roman" w:hAnsi="Times New Roman"/>
          <w:sz w:val="24"/>
          <w:szCs w:val="24"/>
        </w:rPr>
        <w:t xml:space="preserve"> et le fonctionnement</w:t>
      </w:r>
      <w:r w:rsidRPr="00D536C7">
        <w:rPr>
          <w:rStyle w:val="AucunA"/>
          <w:rFonts w:ascii="Times New Roman" w:hAnsi="Times New Roman"/>
          <w:sz w:val="24"/>
          <w:szCs w:val="24"/>
        </w:rPr>
        <w:t xml:space="preserve"> (</w:t>
      </w:r>
      <w:r w:rsidRPr="00D536C7">
        <w:rPr>
          <w:rStyle w:val="AucunA"/>
          <w:rFonts w:ascii="Times New Roman" w:hAnsi="Times New Roman"/>
          <w:i/>
          <w:iCs/>
          <w:sz w:val="24"/>
          <w:szCs w:val="24"/>
        </w:rPr>
        <w:t>e.g.</w:t>
      </w:r>
      <w:r w:rsidRPr="00D536C7">
        <w:rPr>
          <w:rStyle w:val="AucunA"/>
          <w:rFonts w:ascii="Times New Roman" w:hAnsi="Times New Roman"/>
          <w:sz w:val="24"/>
          <w:szCs w:val="24"/>
        </w:rPr>
        <w:t xml:space="preserve">, face au changement climatique </w:t>
      </w:r>
      <w:r w:rsidR="00D536C7">
        <w:rPr>
          <w:rStyle w:val="AucunA"/>
          <w:rFonts w:ascii="Times New Roman" w:hAnsi="Times New Roman"/>
          <w:sz w:val="24"/>
          <w:szCs w:val="24"/>
        </w:rPr>
        <w:t xml:space="preserve">à travers l’analyse de </w:t>
      </w:r>
      <w:r>
        <w:rPr>
          <w:rStyle w:val="AucunA"/>
          <w:rFonts w:ascii="Times New Roman" w:hAnsi="Times New Roman"/>
          <w:sz w:val="24"/>
          <w:szCs w:val="24"/>
        </w:rPr>
        <w:t>la relation cerne-climat)</w:t>
      </w:r>
      <w:r w:rsidR="00D536C7">
        <w:rPr>
          <w:rStyle w:val="AucunA"/>
          <w:rFonts w:ascii="Times New Roman" w:hAnsi="Times New Roman"/>
          <w:sz w:val="24"/>
          <w:szCs w:val="24"/>
        </w:rPr>
        <w:t xml:space="preserve">, ainsi que </w:t>
      </w:r>
      <w:r>
        <w:rPr>
          <w:rStyle w:val="AucunA"/>
          <w:rFonts w:ascii="Times New Roman" w:hAnsi="Times New Roman"/>
          <w:sz w:val="24"/>
          <w:szCs w:val="24"/>
        </w:rPr>
        <w:t>l’estimation de l’âge d’un arbre. En effet, la présence et la lisibilité des cernes permettent l’analyse dendrochronologique, si chaque cerne peut ê</w:t>
      </w:r>
      <w:r>
        <w:rPr>
          <w:rStyle w:val="AucunA"/>
          <w:rFonts w:ascii="Times New Roman" w:hAnsi="Times New Roman"/>
          <w:sz w:val="24"/>
          <w:szCs w:val="24"/>
          <w:lang w:val="pt-PT"/>
        </w:rPr>
        <w:t>tre associ</w:t>
      </w:r>
      <w:r>
        <w:rPr>
          <w:rStyle w:val="AucunA"/>
          <w:rFonts w:ascii="Times New Roman" w:hAnsi="Times New Roman"/>
          <w:sz w:val="24"/>
          <w:szCs w:val="24"/>
        </w:rPr>
        <w:t xml:space="preserve">é à une année donnée et </w:t>
      </w:r>
      <w:r>
        <w:rPr>
          <w:rStyle w:val="AucunA"/>
          <w:rFonts w:ascii="Times New Roman" w:hAnsi="Times New Roman"/>
          <w:sz w:val="24"/>
          <w:szCs w:val="24"/>
        </w:rPr>
        <w:lastRenderedPageBreak/>
        <w:t xml:space="preserve">mesuré avec précision (Fétéké </w:t>
      </w:r>
      <w:r>
        <w:rPr>
          <w:rStyle w:val="AucunA"/>
          <w:rFonts w:ascii="Times New Roman" w:hAnsi="Times New Roman"/>
          <w:i/>
          <w:iCs/>
          <w:sz w:val="24"/>
          <w:szCs w:val="24"/>
        </w:rPr>
        <w:t>et al.</w:t>
      </w:r>
      <w:r>
        <w:rPr>
          <w:rStyle w:val="AucunA"/>
          <w:rFonts w:ascii="Times New Roman" w:hAnsi="Times New Roman"/>
          <w:sz w:val="24"/>
          <w:szCs w:val="24"/>
        </w:rPr>
        <w:t xml:space="preserve">, 2016). Les premières observations des </w:t>
      </w:r>
      <w:r>
        <w:rPr>
          <w:rStyle w:val="AucunA"/>
          <w:rFonts w:ascii="Times New Roman" w:hAnsi="Times New Roman"/>
          <w:i/>
          <w:iCs/>
          <w:sz w:val="24"/>
          <w:szCs w:val="24"/>
        </w:rPr>
        <w:t>Entandrophragma</w:t>
      </w:r>
      <w:r>
        <w:rPr>
          <w:rStyle w:val="AucunA"/>
          <w:rFonts w:ascii="Times New Roman" w:hAnsi="Times New Roman"/>
          <w:sz w:val="24"/>
          <w:szCs w:val="24"/>
        </w:rPr>
        <w:t>,</w:t>
      </w:r>
      <w:r>
        <w:rPr>
          <w:rStyle w:val="AucunA"/>
          <w:rFonts w:ascii="Times New Roman" w:hAnsi="Times New Roman"/>
          <w:i/>
          <w:iCs/>
          <w:sz w:val="24"/>
          <w:szCs w:val="24"/>
        </w:rPr>
        <w:t xml:space="preserve"> </w:t>
      </w:r>
      <w:r>
        <w:rPr>
          <w:rStyle w:val="AucunA"/>
          <w:rFonts w:ascii="Times New Roman" w:hAnsi="Times New Roman"/>
          <w:sz w:val="24"/>
          <w:szCs w:val="24"/>
        </w:rPr>
        <w:t xml:space="preserve">notamment </w:t>
      </w:r>
      <w:r>
        <w:rPr>
          <w:rStyle w:val="AucunA"/>
          <w:rFonts w:ascii="Times New Roman" w:hAnsi="Times New Roman"/>
          <w:i/>
          <w:iCs/>
          <w:sz w:val="24"/>
          <w:szCs w:val="24"/>
        </w:rPr>
        <w:t>E. cylindricum et E. utile</w:t>
      </w:r>
      <w:r>
        <w:rPr>
          <w:rStyle w:val="AucunA"/>
          <w:rFonts w:ascii="Times New Roman" w:hAnsi="Times New Roman"/>
          <w:sz w:val="24"/>
          <w:szCs w:val="24"/>
        </w:rPr>
        <w:t xml:space="preserve"> renseignent des cernes limités par une fine ligne continue et susceptibles d’être annuels (Détienne et Mariaux, 1977 ; Porter </w:t>
      </w:r>
      <w:r>
        <w:rPr>
          <w:rStyle w:val="AucunA"/>
          <w:rFonts w:ascii="Times New Roman" w:hAnsi="Times New Roman"/>
          <w:i/>
          <w:iCs/>
          <w:sz w:val="24"/>
          <w:szCs w:val="24"/>
        </w:rPr>
        <w:t>et al.</w:t>
      </w:r>
      <w:r>
        <w:rPr>
          <w:rStyle w:val="AucunA"/>
          <w:rFonts w:ascii="Times New Roman" w:hAnsi="Times New Roman"/>
          <w:sz w:val="24"/>
          <w:szCs w:val="24"/>
        </w:rPr>
        <w:t xml:space="preserve">, 2004). Cependant, Banak </w:t>
      </w:r>
      <w:r>
        <w:rPr>
          <w:rStyle w:val="AucunA"/>
          <w:rFonts w:ascii="Times New Roman" w:hAnsi="Times New Roman"/>
          <w:i/>
          <w:iCs/>
          <w:sz w:val="24"/>
          <w:szCs w:val="24"/>
        </w:rPr>
        <w:t>et al.</w:t>
      </w:r>
      <w:r>
        <w:rPr>
          <w:rStyle w:val="AucunA"/>
          <w:rFonts w:ascii="Times New Roman" w:hAnsi="Times New Roman"/>
          <w:sz w:val="24"/>
          <w:szCs w:val="24"/>
        </w:rPr>
        <w:t xml:space="preserve">, (2008) notent que les limites des cernes de </w:t>
      </w:r>
      <w:r>
        <w:rPr>
          <w:rStyle w:val="AucunA"/>
          <w:rFonts w:ascii="Times New Roman" w:hAnsi="Times New Roman"/>
          <w:i/>
          <w:iCs/>
          <w:sz w:val="24"/>
          <w:szCs w:val="24"/>
        </w:rPr>
        <w:t>E</w:t>
      </w:r>
      <w:r>
        <w:rPr>
          <w:rStyle w:val="AucunA"/>
          <w:rFonts w:ascii="Times New Roman" w:hAnsi="Times New Roman"/>
          <w:i/>
          <w:iCs/>
          <w:sz w:val="24"/>
          <w:szCs w:val="24"/>
          <w:lang w:val="it-IT"/>
        </w:rPr>
        <w:t>. angolense</w:t>
      </w:r>
      <w:r>
        <w:rPr>
          <w:rStyle w:val="AucunA"/>
          <w:rFonts w:ascii="Times New Roman" w:hAnsi="Times New Roman"/>
          <w:i/>
          <w:iCs/>
          <w:sz w:val="24"/>
          <w:szCs w:val="24"/>
        </w:rPr>
        <w:t xml:space="preserve">, E. cylindricum et </w:t>
      </w:r>
      <w:r>
        <w:rPr>
          <w:rStyle w:val="AucunA"/>
          <w:rFonts w:ascii="Times New Roman" w:hAnsi="Times New Roman"/>
          <w:i/>
          <w:iCs/>
          <w:sz w:val="24"/>
          <w:szCs w:val="24"/>
          <w:lang w:val="it-IT"/>
        </w:rPr>
        <w:t xml:space="preserve">E. utile </w:t>
      </w:r>
      <w:r>
        <w:rPr>
          <w:rStyle w:val="AucunA"/>
          <w:rFonts w:ascii="Times New Roman" w:hAnsi="Times New Roman"/>
          <w:sz w:val="24"/>
          <w:szCs w:val="24"/>
        </w:rPr>
        <w:t xml:space="preserve">sont soit distinctes, soit indistinctes ou absentes, et que celles de </w:t>
      </w:r>
      <w:r>
        <w:rPr>
          <w:rStyle w:val="AucunA"/>
          <w:rFonts w:ascii="Times New Roman" w:hAnsi="Times New Roman"/>
          <w:i/>
          <w:iCs/>
          <w:sz w:val="24"/>
          <w:szCs w:val="24"/>
          <w:lang w:val="it-IT"/>
        </w:rPr>
        <w:t>E. candollei</w:t>
      </w:r>
      <w:r>
        <w:rPr>
          <w:rStyle w:val="AucunA"/>
          <w:rFonts w:ascii="Times New Roman" w:hAnsi="Times New Roman"/>
          <w:sz w:val="24"/>
          <w:szCs w:val="24"/>
        </w:rPr>
        <w:t xml:space="preserve"> sont indistinctes ou absentes. Même si la lecture des cernes chez les espèces du genre </w:t>
      </w:r>
      <w:r>
        <w:rPr>
          <w:rStyle w:val="AucunA"/>
          <w:rFonts w:ascii="Times New Roman" w:hAnsi="Times New Roman"/>
          <w:i/>
          <w:iCs/>
          <w:sz w:val="24"/>
          <w:szCs w:val="24"/>
        </w:rPr>
        <w:t>Entandrophragma</w:t>
      </w:r>
      <w:r>
        <w:rPr>
          <w:rStyle w:val="AucunA"/>
          <w:rFonts w:ascii="Times New Roman" w:hAnsi="Times New Roman"/>
          <w:sz w:val="24"/>
          <w:szCs w:val="24"/>
        </w:rPr>
        <w:t xml:space="preserve"> peut s’avérer difficile, elle permettrait d’approfondir les connaissances sur leur vitesse de croissance diamétrique, au moins pour certaines d’entre elles. </w:t>
      </w:r>
    </w:p>
    <w:p w:rsidR="003A53F7" w:rsidRDefault="00670B5E">
      <w:pPr>
        <w:pStyle w:val="CorpsA"/>
        <w:suppressAutoHyphens/>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Par ailleurs, l’étude des isotopes stables de l'oxygène (δ18O) dans les cernes de croissance des arbres tropicaux est un outil prometteur pour les reconstructions climatiques à haute résolution (annuelle). En raison des cernes de croissance facilement mesurables et datables dans </w:t>
      </w:r>
      <w:r>
        <w:rPr>
          <w:rStyle w:val="AucunA"/>
          <w:rFonts w:ascii="Times New Roman" w:hAnsi="Times New Roman"/>
          <w:i/>
          <w:iCs/>
          <w:sz w:val="24"/>
          <w:szCs w:val="24"/>
        </w:rPr>
        <w:t>E. utile</w:t>
      </w:r>
      <w:r>
        <w:rPr>
          <w:rStyle w:val="AucunA"/>
          <w:rFonts w:ascii="Times New Roman" w:hAnsi="Times New Roman"/>
          <w:sz w:val="24"/>
          <w:szCs w:val="24"/>
        </w:rPr>
        <w:t xml:space="preserve">, de la présence d'un signal δ18O commun fort et de sa relation avec les précipitations régionales, Van der Sleen </w:t>
      </w:r>
      <w:r>
        <w:rPr>
          <w:rStyle w:val="AucunA"/>
          <w:rFonts w:ascii="Times New Roman" w:hAnsi="Times New Roman"/>
          <w:i/>
          <w:iCs/>
          <w:sz w:val="24"/>
          <w:szCs w:val="24"/>
        </w:rPr>
        <w:t xml:space="preserve">et al. </w:t>
      </w:r>
      <w:r>
        <w:rPr>
          <w:rStyle w:val="AucunA"/>
          <w:rFonts w:ascii="Times New Roman" w:hAnsi="Times New Roman"/>
          <w:sz w:val="24"/>
          <w:szCs w:val="24"/>
        </w:rPr>
        <w:t>(2015) soutiennent que l'analyse δ18O des cernes des arbres de cette espèce représente un outil prometteur pour une reconstruction de la variabilité climatique au cours des derniers siècles dans la région africaine. Cette nouvelle recherche appliquée à d’autres espèces commerciales d’</w:t>
      </w:r>
      <w:r>
        <w:rPr>
          <w:rStyle w:val="AucunA"/>
          <w:rFonts w:ascii="Times New Roman" w:hAnsi="Times New Roman"/>
          <w:i/>
          <w:iCs/>
          <w:sz w:val="24"/>
          <w:szCs w:val="24"/>
        </w:rPr>
        <w:t>Entandrophragma</w:t>
      </w:r>
      <w:r>
        <w:rPr>
          <w:rStyle w:val="AucunA"/>
          <w:rFonts w:ascii="Times New Roman" w:hAnsi="Times New Roman"/>
          <w:sz w:val="24"/>
          <w:szCs w:val="24"/>
        </w:rPr>
        <w:t xml:space="preserve"> permettrait des reconstructions climatiques à partir de cernes de croissance distincts.</w:t>
      </w:r>
    </w:p>
    <w:p w:rsidR="003A53F7" w:rsidRDefault="00670B5E">
      <w:pPr>
        <w:pStyle w:val="CorpsA"/>
        <w:suppressAutoHyphens/>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Rythme de croissance.</w:t>
      </w:r>
      <w:r>
        <w:rPr>
          <w:rStyle w:val="AucunA"/>
          <w:rFonts w:ascii="Times New Roman" w:hAnsi="Times New Roman"/>
          <w:sz w:val="24"/>
          <w:szCs w:val="24"/>
        </w:rPr>
        <w:t xml:space="preserve"> Selon Couralet </w:t>
      </w:r>
      <w:r>
        <w:rPr>
          <w:rStyle w:val="AucunA"/>
          <w:rFonts w:ascii="Times New Roman" w:hAnsi="Times New Roman"/>
          <w:i/>
          <w:iCs/>
          <w:sz w:val="24"/>
          <w:szCs w:val="24"/>
        </w:rPr>
        <w:t>et al.</w:t>
      </w:r>
      <w:r>
        <w:rPr>
          <w:rStyle w:val="AucunA"/>
          <w:rFonts w:ascii="Times New Roman" w:hAnsi="Times New Roman"/>
          <w:sz w:val="24"/>
          <w:szCs w:val="24"/>
        </w:rPr>
        <w:t xml:space="preserve"> (2010), le rythme de croissance des arbres, donc la formation des cernes de croissance, dépend principalement des variations climatiques. Les saisons optimales pour la croissance en diamètre et la formation des cernes des </w:t>
      </w:r>
      <w:r>
        <w:rPr>
          <w:rStyle w:val="AucunA"/>
          <w:rFonts w:ascii="Times New Roman" w:hAnsi="Times New Roman"/>
          <w:i/>
          <w:iCs/>
          <w:sz w:val="24"/>
          <w:szCs w:val="24"/>
        </w:rPr>
        <w:t>Entandrophragma</w:t>
      </w:r>
      <w:r>
        <w:rPr>
          <w:rStyle w:val="AucunA"/>
          <w:rFonts w:ascii="Times New Roman" w:hAnsi="Times New Roman"/>
          <w:sz w:val="24"/>
          <w:szCs w:val="24"/>
        </w:rPr>
        <w:t xml:space="preserve"> en Côte-d’Ivoire, Cameroun et RCA sont les deux saisons pluvieuses. Un bref arrêt de croissance en diamètre chez certaines tiges est observé au cours de la petite saison sèche de juillet-août alors que la grande saison sè</w:t>
      </w:r>
      <w:r>
        <w:rPr>
          <w:rStyle w:val="AucunA"/>
          <w:rFonts w:ascii="Times New Roman" w:hAnsi="Times New Roman"/>
          <w:sz w:val="24"/>
          <w:szCs w:val="24"/>
          <w:lang w:val="it-IT"/>
        </w:rPr>
        <w:t xml:space="preserve">che </w:t>
      </w:r>
      <w:r>
        <w:rPr>
          <w:rStyle w:val="AucunA"/>
          <w:rFonts w:ascii="Times New Roman" w:hAnsi="Times New Roman"/>
          <w:sz w:val="24"/>
          <w:szCs w:val="24"/>
        </w:rPr>
        <w:t xml:space="preserve">correspond à une période de croissance ralentie ou nulle (Détienne </w:t>
      </w:r>
      <w:r>
        <w:rPr>
          <w:rStyle w:val="AucunA"/>
          <w:rFonts w:ascii="Times New Roman" w:hAnsi="Times New Roman"/>
          <w:i/>
          <w:iCs/>
          <w:sz w:val="24"/>
          <w:szCs w:val="24"/>
        </w:rPr>
        <w:t>et al.</w:t>
      </w:r>
      <w:r>
        <w:rPr>
          <w:rStyle w:val="AucunA"/>
          <w:rFonts w:ascii="Times New Roman" w:hAnsi="Times New Roman"/>
          <w:sz w:val="24"/>
          <w:szCs w:val="24"/>
        </w:rPr>
        <w:t xml:space="preserve">, 1977 ; Fétéké </w:t>
      </w:r>
      <w:r>
        <w:rPr>
          <w:rStyle w:val="AucunA"/>
          <w:rFonts w:ascii="Times New Roman" w:hAnsi="Times New Roman"/>
          <w:i/>
          <w:iCs/>
          <w:sz w:val="24"/>
          <w:szCs w:val="24"/>
        </w:rPr>
        <w:t>et al.</w:t>
      </w:r>
      <w:r>
        <w:rPr>
          <w:rStyle w:val="AucunA"/>
          <w:rFonts w:ascii="Times New Roman" w:hAnsi="Times New Roman"/>
          <w:sz w:val="24"/>
          <w:szCs w:val="24"/>
        </w:rPr>
        <w:t xml:space="preserve">, 2016). D’une manière </w:t>
      </w:r>
      <w:r>
        <w:rPr>
          <w:rStyle w:val="AucunA"/>
          <w:rFonts w:ascii="Times New Roman" w:hAnsi="Times New Roman"/>
          <w:sz w:val="24"/>
          <w:szCs w:val="24"/>
        </w:rPr>
        <w:lastRenderedPageBreak/>
        <w:t xml:space="preserve">générale, la reprise de l’activité de croissance chez les </w:t>
      </w:r>
      <w:r>
        <w:rPr>
          <w:rStyle w:val="AucunA"/>
          <w:rFonts w:ascii="Times New Roman" w:hAnsi="Times New Roman"/>
          <w:i/>
          <w:iCs/>
          <w:sz w:val="24"/>
          <w:szCs w:val="24"/>
        </w:rPr>
        <w:t>Entandrophragma</w:t>
      </w:r>
      <w:r>
        <w:rPr>
          <w:rStyle w:val="AucunA"/>
          <w:rFonts w:ascii="Times New Roman" w:hAnsi="Times New Roman"/>
          <w:sz w:val="24"/>
          <w:szCs w:val="24"/>
        </w:rPr>
        <w:t xml:space="preserve"> a lieu pendant le premier mois pluvieux et n’est pas modifiée par des variations du régime des pluies au cours de la saison végétative d’avril à novembre (Détienne et </w:t>
      </w:r>
      <w:r>
        <w:rPr>
          <w:rStyle w:val="AucunA"/>
          <w:rFonts w:ascii="Times New Roman" w:hAnsi="Times New Roman"/>
          <w:i/>
          <w:iCs/>
          <w:sz w:val="24"/>
          <w:szCs w:val="24"/>
        </w:rPr>
        <w:t>al.</w:t>
      </w:r>
      <w:r>
        <w:rPr>
          <w:rStyle w:val="AucunA"/>
          <w:rFonts w:ascii="Times New Roman" w:hAnsi="Times New Roman"/>
          <w:sz w:val="24"/>
          <w:szCs w:val="24"/>
        </w:rPr>
        <w:t xml:space="preserve">, 1977). </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Mesure des accroissements diamétriques</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En Afrique centrale et occidentale, la gestion durable des essences commerciales repose notamment sur le calcul du taux de reconstitution (Durrieu de Madron et Forni, 1997) donc, notamment, sur leur vitesse de croissance diamétrique (Fétéké </w:t>
      </w:r>
      <w:r>
        <w:rPr>
          <w:rStyle w:val="AucunA"/>
          <w:rFonts w:ascii="Times New Roman" w:hAnsi="Times New Roman"/>
          <w:i/>
          <w:iCs/>
          <w:sz w:val="24"/>
          <w:szCs w:val="24"/>
        </w:rPr>
        <w:t>et al.</w:t>
      </w:r>
      <w:r>
        <w:rPr>
          <w:rStyle w:val="AucunA"/>
          <w:rFonts w:ascii="Times New Roman" w:hAnsi="Times New Roman"/>
          <w:sz w:val="24"/>
          <w:szCs w:val="24"/>
        </w:rPr>
        <w:t>, 2016). Des analyses de cernes et des mesures de diamètres répétées dans le temps</w:t>
      </w:r>
      <w:r>
        <w:rPr>
          <w:rStyle w:val="AucunA"/>
          <w:rFonts w:ascii="Times New Roman" w:hAnsi="Times New Roman"/>
          <w:b/>
          <w:bCs/>
          <w:sz w:val="24"/>
          <w:szCs w:val="24"/>
        </w:rPr>
        <w:t xml:space="preserve"> </w:t>
      </w:r>
      <w:r>
        <w:rPr>
          <w:rStyle w:val="AucunA"/>
          <w:rFonts w:ascii="Times New Roman" w:hAnsi="Times New Roman"/>
          <w:sz w:val="24"/>
          <w:szCs w:val="24"/>
        </w:rPr>
        <w:t>(tableau I)</w:t>
      </w:r>
      <w:r>
        <w:rPr>
          <w:rStyle w:val="AucunA"/>
          <w:rFonts w:ascii="Times New Roman" w:hAnsi="Times New Roman"/>
          <w:b/>
          <w:bCs/>
          <w:sz w:val="24"/>
          <w:szCs w:val="24"/>
        </w:rPr>
        <w:t xml:space="preserve"> </w:t>
      </w:r>
      <w:r>
        <w:rPr>
          <w:rStyle w:val="AucunA"/>
          <w:rFonts w:ascii="Times New Roman" w:hAnsi="Times New Roman"/>
          <w:sz w:val="24"/>
          <w:szCs w:val="24"/>
        </w:rPr>
        <w:t>ont été réalisées au Cameroun, en Côte d’Ivoire, au Ghana, en RCA et en République du Congo (Congo) pour étudier la croissance de certaines espèces commerciales d’</w:t>
      </w:r>
      <w:r>
        <w:rPr>
          <w:rStyle w:val="AucunA"/>
          <w:rFonts w:ascii="Times New Roman" w:hAnsi="Times New Roman"/>
          <w:i/>
          <w:iCs/>
          <w:sz w:val="24"/>
          <w:szCs w:val="24"/>
        </w:rPr>
        <w:t>Entandrophragma</w:t>
      </w:r>
      <w:r>
        <w:rPr>
          <w:rStyle w:val="AucunA"/>
          <w:rFonts w:ascii="Times New Roman" w:hAnsi="Times New Roman"/>
          <w:sz w:val="24"/>
          <w:szCs w:val="24"/>
        </w:rPr>
        <w:t xml:space="preserve"> (Détienne et Mariaux, 1977 ; </w:t>
      </w:r>
      <w:r>
        <w:rPr>
          <w:rStyle w:val="AucunA"/>
          <w:rFonts w:ascii="Times New Roman" w:hAnsi="Times New Roman"/>
          <w:sz w:val="24"/>
          <w:szCs w:val="24"/>
          <w:lang w:val="da-DK"/>
        </w:rPr>
        <w:t>Adler, 1989</w:t>
      </w:r>
      <w:r>
        <w:rPr>
          <w:rStyle w:val="AucunA"/>
          <w:rFonts w:ascii="Times New Roman" w:hAnsi="Times New Roman"/>
          <w:sz w:val="24"/>
          <w:szCs w:val="24"/>
        </w:rPr>
        <w:t xml:space="preserve"> ; Détienne </w:t>
      </w:r>
      <w:r>
        <w:rPr>
          <w:rStyle w:val="AucunA"/>
          <w:rFonts w:ascii="Times New Roman" w:hAnsi="Times New Roman"/>
          <w:i/>
          <w:iCs/>
          <w:sz w:val="24"/>
          <w:szCs w:val="24"/>
        </w:rPr>
        <w:t>et al.</w:t>
      </w:r>
      <w:r>
        <w:rPr>
          <w:rStyle w:val="AucunA"/>
          <w:rFonts w:ascii="Times New Roman" w:hAnsi="Times New Roman"/>
          <w:sz w:val="24"/>
          <w:szCs w:val="24"/>
        </w:rPr>
        <w:t>, 1998 </w:t>
      </w:r>
      <w:r>
        <w:rPr>
          <w:rStyle w:val="AucunA"/>
          <w:rFonts w:ascii="Times New Roman" w:hAnsi="Times New Roman"/>
          <w:sz w:val="24"/>
          <w:szCs w:val="24"/>
          <w:lang w:val="da-DK"/>
        </w:rPr>
        <w:t xml:space="preserve">; </w:t>
      </w:r>
      <w:r>
        <w:rPr>
          <w:rStyle w:val="AucunA"/>
          <w:rFonts w:ascii="Times New Roman" w:hAnsi="Times New Roman"/>
          <w:sz w:val="24"/>
          <w:szCs w:val="24"/>
        </w:rPr>
        <w:t xml:space="preserve">Durrieu de Madron </w:t>
      </w:r>
      <w:r>
        <w:rPr>
          <w:rStyle w:val="AucunA"/>
          <w:rFonts w:ascii="Times New Roman" w:hAnsi="Times New Roman"/>
          <w:i/>
          <w:iCs/>
          <w:sz w:val="24"/>
          <w:szCs w:val="24"/>
        </w:rPr>
        <w:t>et al.</w:t>
      </w:r>
      <w:r>
        <w:rPr>
          <w:rStyle w:val="AucunA"/>
          <w:rFonts w:ascii="Times New Roman" w:hAnsi="Times New Roman"/>
          <w:sz w:val="24"/>
          <w:szCs w:val="24"/>
        </w:rPr>
        <w:t xml:space="preserve">, 2000 ; Gillet </w:t>
      </w:r>
      <w:r>
        <w:rPr>
          <w:rStyle w:val="AucunA"/>
          <w:rFonts w:ascii="Times New Roman" w:hAnsi="Times New Roman"/>
          <w:i/>
          <w:iCs/>
          <w:sz w:val="24"/>
          <w:szCs w:val="24"/>
        </w:rPr>
        <w:t>et al.</w:t>
      </w:r>
      <w:r>
        <w:rPr>
          <w:rStyle w:val="AucunA"/>
          <w:rFonts w:ascii="Times New Roman" w:hAnsi="Times New Roman"/>
          <w:sz w:val="24"/>
          <w:szCs w:val="24"/>
        </w:rPr>
        <w:t xml:space="preserve">, 2008 ; Owona Ndongo </w:t>
      </w:r>
      <w:r>
        <w:rPr>
          <w:rStyle w:val="AucunA"/>
          <w:rFonts w:ascii="Times New Roman" w:hAnsi="Times New Roman"/>
          <w:i/>
          <w:iCs/>
          <w:sz w:val="24"/>
          <w:szCs w:val="24"/>
        </w:rPr>
        <w:t>et al.</w:t>
      </w:r>
      <w:r>
        <w:rPr>
          <w:rStyle w:val="AucunA"/>
          <w:rFonts w:ascii="Times New Roman" w:hAnsi="Times New Roman"/>
          <w:sz w:val="24"/>
          <w:szCs w:val="24"/>
        </w:rPr>
        <w:t xml:space="preserve">, 2009 ; Fétéké </w:t>
      </w:r>
      <w:r>
        <w:rPr>
          <w:rStyle w:val="AucunA"/>
          <w:rFonts w:ascii="Times New Roman" w:hAnsi="Times New Roman"/>
          <w:i/>
          <w:iCs/>
          <w:sz w:val="24"/>
          <w:szCs w:val="24"/>
        </w:rPr>
        <w:t>et al.</w:t>
      </w:r>
      <w:r>
        <w:rPr>
          <w:rStyle w:val="AucunA"/>
          <w:rFonts w:ascii="Times New Roman" w:hAnsi="Times New Roman"/>
          <w:sz w:val="24"/>
          <w:szCs w:val="24"/>
        </w:rPr>
        <w:t xml:space="preserve">, 2015 ; Fétéké </w:t>
      </w:r>
      <w:r>
        <w:rPr>
          <w:rStyle w:val="AucunA"/>
          <w:rFonts w:ascii="Times New Roman" w:hAnsi="Times New Roman"/>
          <w:i/>
          <w:iCs/>
          <w:sz w:val="24"/>
          <w:szCs w:val="24"/>
        </w:rPr>
        <w:t>et al.</w:t>
      </w:r>
      <w:r>
        <w:rPr>
          <w:rStyle w:val="AucunA"/>
          <w:rFonts w:ascii="Times New Roman" w:hAnsi="Times New Roman"/>
          <w:sz w:val="24"/>
          <w:szCs w:val="24"/>
        </w:rPr>
        <w:t xml:space="preserve">, 2016). Les accroissements observés avec ces deux méthodes sont comparables et leur utilisation permet, pour une essence donnée, d’obtenir des fourchettes assez précises de vitesses de croissance en diamètre et de calculer le taux de reconstitution entre deux rotations. Pour affiner les connaissances sur leur croissance en diamètre, il serait souhaitable d’approfondir les recherches sur la base d’effectifs plus importants répartis sur l’ensemble de l’aire de répartition des </w:t>
      </w:r>
      <w:r>
        <w:rPr>
          <w:rStyle w:val="AucunA"/>
          <w:rFonts w:ascii="Times New Roman" w:hAnsi="Times New Roman"/>
          <w:i/>
          <w:iCs/>
          <w:sz w:val="24"/>
          <w:szCs w:val="24"/>
        </w:rPr>
        <w:t xml:space="preserve">Entandrophragma </w:t>
      </w:r>
      <w:r>
        <w:rPr>
          <w:rStyle w:val="AucunA"/>
          <w:rFonts w:ascii="Times New Roman" w:hAnsi="Times New Roman"/>
          <w:sz w:val="24"/>
          <w:szCs w:val="24"/>
        </w:rPr>
        <w:t xml:space="preserve">(Durrieu de Madron </w:t>
      </w:r>
      <w:r>
        <w:rPr>
          <w:rStyle w:val="AucunA"/>
          <w:rFonts w:ascii="Times New Roman" w:hAnsi="Times New Roman"/>
          <w:i/>
          <w:iCs/>
          <w:sz w:val="24"/>
          <w:szCs w:val="24"/>
        </w:rPr>
        <w:t>et al.</w:t>
      </w:r>
      <w:r>
        <w:rPr>
          <w:rStyle w:val="AucunA"/>
          <w:rFonts w:ascii="Times New Roman" w:hAnsi="Times New Roman"/>
          <w:sz w:val="24"/>
          <w:szCs w:val="24"/>
        </w:rPr>
        <w:t xml:space="preserve">, 2000). Comme la vitesse de croissance dépend aussi fortement de la hiérarchie sociale d’un arbre par rapport aux tiges avoisinantes (Gillet </w:t>
      </w:r>
      <w:r>
        <w:rPr>
          <w:rStyle w:val="AucunA"/>
          <w:rFonts w:ascii="Times New Roman" w:hAnsi="Times New Roman"/>
          <w:i/>
          <w:iCs/>
          <w:sz w:val="24"/>
          <w:szCs w:val="24"/>
        </w:rPr>
        <w:t>et al.</w:t>
      </w:r>
      <w:r>
        <w:rPr>
          <w:rStyle w:val="AucunA"/>
          <w:rFonts w:ascii="Times New Roman" w:hAnsi="Times New Roman"/>
          <w:sz w:val="24"/>
          <w:szCs w:val="24"/>
        </w:rPr>
        <w:t xml:space="preserve">, 2008), il s’agirait de mesurer la croissance diamétrique de l’arbre en fonction de son statut social (dominé, co-dominant et dominant). D’après Durrieu de Madron </w:t>
      </w:r>
      <w:r>
        <w:rPr>
          <w:rStyle w:val="AucunA"/>
          <w:rFonts w:ascii="Times New Roman" w:hAnsi="Times New Roman"/>
          <w:i/>
          <w:iCs/>
          <w:sz w:val="24"/>
          <w:szCs w:val="24"/>
        </w:rPr>
        <w:t>et al.</w:t>
      </w:r>
      <w:r>
        <w:rPr>
          <w:rStyle w:val="AucunA"/>
          <w:rFonts w:ascii="Times New Roman" w:hAnsi="Times New Roman"/>
          <w:sz w:val="24"/>
          <w:szCs w:val="24"/>
        </w:rPr>
        <w:t xml:space="preserve"> (2000), la croissance </w:t>
      </w:r>
      <w:r>
        <w:rPr>
          <w:rStyle w:val="AucunA"/>
          <w:rFonts w:ascii="Times New Roman" w:hAnsi="Times New Roman"/>
          <w:sz w:val="24"/>
          <w:szCs w:val="24"/>
          <w:u w:color="FF0000"/>
          <w:lang w:val="it-IT"/>
        </w:rPr>
        <w:t>diam</w:t>
      </w:r>
      <w:r>
        <w:rPr>
          <w:rStyle w:val="AucunA"/>
          <w:rFonts w:ascii="Times New Roman" w:hAnsi="Times New Roman"/>
          <w:sz w:val="24"/>
          <w:szCs w:val="24"/>
          <w:u w:color="FF0000"/>
        </w:rPr>
        <w:t>étrique</w:t>
      </w:r>
      <w:r>
        <w:rPr>
          <w:rStyle w:val="AucunA"/>
          <w:rFonts w:ascii="Times New Roman" w:hAnsi="Times New Roman"/>
          <w:sz w:val="24"/>
          <w:szCs w:val="24"/>
        </w:rPr>
        <w:t xml:space="preserve"> annuelle moyenne d’</w:t>
      </w:r>
      <w:r>
        <w:rPr>
          <w:rStyle w:val="AucunA"/>
          <w:rFonts w:ascii="Times New Roman" w:hAnsi="Times New Roman"/>
          <w:i/>
          <w:iCs/>
          <w:sz w:val="24"/>
          <w:szCs w:val="24"/>
        </w:rPr>
        <w:t>E. cylindricum</w:t>
      </w:r>
      <w:r>
        <w:rPr>
          <w:rStyle w:val="AucunA"/>
          <w:rFonts w:ascii="Times New Roman" w:hAnsi="Times New Roman"/>
          <w:sz w:val="24"/>
          <w:szCs w:val="24"/>
          <w:lang w:val="pt-PT"/>
        </w:rPr>
        <w:t xml:space="preserve"> varie de 2,8 à 7,7 m</w:t>
      </w:r>
      <w:r>
        <w:rPr>
          <w:rStyle w:val="AucunA"/>
          <w:rFonts w:ascii="Times New Roman" w:hAnsi="Times New Roman"/>
          <w:sz w:val="24"/>
          <w:szCs w:val="24"/>
        </w:rPr>
        <w:t xml:space="preserve">m/an mais Gillet </w:t>
      </w:r>
      <w:r>
        <w:rPr>
          <w:rStyle w:val="AucunA"/>
          <w:rFonts w:ascii="Times New Roman" w:hAnsi="Times New Roman"/>
          <w:i/>
          <w:iCs/>
          <w:sz w:val="24"/>
          <w:szCs w:val="24"/>
        </w:rPr>
        <w:t xml:space="preserve">et al. </w:t>
      </w:r>
      <w:r>
        <w:rPr>
          <w:rStyle w:val="AucunA"/>
          <w:rFonts w:ascii="Times New Roman" w:hAnsi="Times New Roman"/>
          <w:sz w:val="24"/>
          <w:szCs w:val="24"/>
        </w:rPr>
        <w:t>(2008) ont montré qu’une partie de cette variabilité s’explique par le statut social de l’arbre. Ainsi ces auteurs ont déterminé que la croissance moyenne en diamètre d’un arbre</w:t>
      </w:r>
      <w:r>
        <w:rPr>
          <w:rStyle w:val="AucunA"/>
          <w:rFonts w:ascii="Times New Roman" w:hAnsi="Times New Roman"/>
          <w:sz w:val="24"/>
          <w:szCs w:val="24"/>
          <w:lang w:val="nl-NL"/>
        </w:rPr>
        <w:t xml:space="preserve"> domin</w:t>
      </w:r>
      <w:r>
        <w:rPr>
          <w:rStyle w:val="AucunA"/>
          <w:rFonts w:ascii="Times New Roman" w:hAnsi="Times New Roman"/>
          <w:sz w:val="24"/>
          <w:szCs w:val="24"/>
        </w:rPr>
        <w:t>é était de 5 mm/an, de 8 mm/an pour un co-</w:t>
      </w:r>
      <w:r>
        <w:rPr>
          <w:rStyle w:val="AucunA"/>
          <w:rFonts w:ascii="Times New Roman" w:hAnsi="Times New Roman"/>
          <w:sz w:val="24"/>
          <w:szCs w:val="24"/>
        </w:rPr>
        <w:lastRenderedPageBreak/>
        <w:t xml:space="preserve">dominant et de 11 mm/an pour un dominant. Cependant, la vitesse de croissance dépend aussi d’autres facteurs tels que </w:t>
      </w:r>
      <w:r>
        <w:rPr>
          <w:rStyle w:val="AucunA"/>
          <w:rFonts w:ascii="Times New Roman" w:hAnsi="Times New Roman"/>
          <w:sz w:val="24"/>
          <w:szCs w:val="24"/>
          <w:lang w:val="de-DE"/>
        </w:rPr>
        <w:t xml:space="preserve">la qualité du sol, </w:t>
      </w:r>
      <w:r>
        <w:rPr>
          <w:rStyle w:val="AucunA"/>
          <w:rFonts w:ascii="Times New Roman" w:hAnsi="Times New Roman"/>
          <w:sz w:val="24"/>
          <w:szCs w:val="24"/>
        </w:rPr>
        <w:t>la variabilité interannuelle du climat, notamment de la pluviomé</w:t>
      </w:r>
      <w:r>
        <w:rPr>
          <w:rStyle w:val="AucunA"/>
          <w:rFonts w:ascii="Times New Roman" w:hAnsi="Times New Roman"/>
          <w:sz w:val="24"/>
          <w:szCs w:val="24"/>
          <w:lang w:val="de-DE"/>
        </w:rPr>
        <w:t>trie, ainsi que de l’intensité et de l’ancienneté de l’exploitation forestière qui modifient notamment la concurrence entre arbres. L’ensemble de ces facteurs fait que</w:t>
      </w:r>
      <w:r>
        <w:rPr>
          <w:rStyle w:val="AucunA"/>
          <w:rFonts w:ascii="Times New Roman" w:hAnsi="Times New Roman"/>
          <w:sz w:val="24"/>
          <w:szCs w:val="24"/>
        </w:rPr>
        <w:t xml:space="preserve"> l’accroissement d’un sapelli</w:t>
      </w:r>
      <w:r w:rsidR="00506524">
        <w:rPr>
          <w:rStyle w:val="AucunA"/>
          <w:rFonts w:ascii="Times New Roman" w:hAnsi="Times New Roman"/>
          <w:sz w:val="24"/>
          <w:szCs w:val="24"/>
        </w:rPr>
        <w:t xml:space="preserve"> (ainsi que d’autrès espèces d’</w:t>
      </w:r>
      <w:r w:rsidR="00506524" w:rsidRPr="00F4414F">
        <w:rPr>
          <w:rStyle w:val="AucunA"/>
          <w:rFonts w:ascii="Times New Roman" w:hAnsi="Times New Roman"/>
          <w:i/>
          <w:sz w:val="24"/>
          <w:szCs w:val="24"/>
        </w:rPr>
        <w:t>Entandrophragma</w:t>
      </w:r>
      <w:r w:rsidR="00506524">
        <w:rPr>
          <w:rStyle w:val="AucunA"/>
          <w:rFonts w:ascii="Times New Roman" w:hAnsi="Times New Roman"/>
          <w:sz w:val="24"/>
          <w:szCs w:val="24"/>
        </w:rPr>
        <w:t>)</w:t>
      </w:r>
      <w:r>
        <w:rPr>
          <w:rStyle w:val="AucunA"/>
          <w:rFonts w:ascii="Times New Roman" w:hAnsi="Times New Roman"/>
          <w:sz w:val="24"/>
          <w:szCs w:val="24"/>
        </w:rPr>
        <w:t xml:space="preserve"> peut varier </w:t>
      </w:r>
      <w:r>
        <w:rPr>
          <w:rStyle w:val="AucunA"/>
          <w:rFonts w:ascii="Times New Roman" w:hAnsi="Times New Roman"/>
          <w:sz w:val="24"/>
          <w:szCs w:val="24"/>
          <w:lang w:val="pt-PT"/>
        </w:rPr>
        <w:t>du simple au double</w:t>
      </w:r>
      <w:r>
        <w:rPr>
          <w:rStyle w:val="AucunA"/>
          <w:rFonts w:ascii="Times New Roman" w:hAnsi="Times New Roman"/>
          <w:sz w:val="24"/>
          <w:szCs w:val="24"/>
          <w:lang w:val="it-IT"/>
        </w:rPr>
        <w:t xml:space="preserve"> selon les années </w:t>
      </w:r>
      <w:r>
        <w:rPr>
          <w:rStyle w:val="AucunA"/>
          <w:rFonts w:ascii="Times New Roman" w:hAnsi="Times New Roman"/>
          <w:sz w:val="24"/>
          <w:szCs w:val="24"/>
        </w:rPr>
        <w:t xml:space="preserve">(Fétéké </w:t>
      </w:r>
      <w:r>
        <w:rPr>
          <w:rStyle w:val="AucunA"/>
          <w:rFonts w:ascii="Times New Roman" w:hAnsi="Times New Roman"/>
          <w:i/>
          <w:iCs/>
          <w:sz w:val="24"/>
          <w:szCs w:val="24"/>
        </w:rPr>
        <w:t>et al.</w:t>
      </w:r>
      <w:r>
        <w:rPr>
          <w:rStyle w:val="AucunA"/>
          <w:rFonts w:ascii="Times New Roman" w:hAnsi="Times New Roman"/>
          <w:sz w:val="24"/>
          <w:szCs w:val="24"/>
        </w:rPr>
        <w:t>, 2016).</w:t>
      </w:r>
    </w:p>
    <w:p w:rsidR="003A53F7" w:rsidRDefault="003A53F7">
      <w:pPr>
        <w:pStyle w:val="CorpsA"/>
        <w:suppressAutoHyphens/>
        <w:spacing w:after="0" w:line="480" w:lineRule="auto"/>
        <w:jc w:val="both"/>
        <w:rPr>
          <w:rFonts w:ascii="Times New Roman" w:eastAsia="Times New Roman" w:hAnsi="Times New Roman" w:cs="Times New Roman"/>
          <w:sz w:val="24"/>
          <w:szCs w:val="24"/>
        </w:rPr>
      </w:pPr>
    </w:p>
    <w:p w:rsidR="003A53F7" w:rsidRPr="007848D6" w:rsidRDefault="00670B5E">
      <w:pPr>
        <w:pStyle w:val="CorpsA"/>
        <w:numPr>
          <w:ilvl w:val="0"/>
          <w:numId w:val="2"/>
        </w:numPr>
        <w:suppressAutoHyphens/>
        <w:spacing w:after="0" w:line="480" w:lineRule="auto"/>
        <w:jc w:val="both"/>
        <w:rPr>
          <w:rStyle w:val="AucunA"/>
          <w:rFonts w:ascii="Times New Roman" w:eastAsia="Times New Roman" w:hAnsi="Times New Roman" w:cs="Times New Roman"/>
          <w:b/>
          <w:bCs/>
          <w:sz w:val="24"/>
          <w:szCs w:val="24"/>
          <w:shd w:val="clear" w:color="auto" w:fill="FFFFFF"/>
          <w:lang w:val="it-IT"/>
        </w:rPr>
      </w:pPr>
      <w:r>
        <w:rPr>
          <w:rStyle w:val="AucunA"/>
          <w:rFonts w:ascii="Times New Roman" w:hAnsi="Times New Roman"/>
          <w:b/>
          <w:bCs/>
          <w:sz w:val="24"/>
          <w:szCs w:val="24"/>
          <w:shd w:val="clear" w:color="auto" w:fill="FFFFFF"/>
          <w:lang w:val="it-IT"/>
        </w:rPr>
        <w:t>Propri</w:t>
      </w:r>
      <w:r>
        <w:rPr>
          <w:rStyle w:val="AucunA"/>
          <w:rFonts w:ascii="Times New Roman" w:hAnsi="Times New Roman"/>
          <w:b/>
          <w:bCs/>
          <w:sz w:val="24"/>
          <w:szCs w:val="24"/>
          <w:shd w:val="clear" w:color="auto" w:fill="FFFFFF"/>
        </w:rPr>
        <w:t>étés anatomiques et technologiques</w:t>
      </w:r>
    </w:p>
    <w:p w:rsidR="007848D6" w:rsidRPr="00E06998" w:rsidRDefault="001B4308" w:rsidP="007848D6">
      <w:pPr>
        <w:pStyle w:val="CorpsA"/>
        <w:suppressAutoHyphens/>
        <w:spacing w:after="0" w:line="480" w:lineRule="auto"/>
        <w:jc w:val="both"/>
        <w:rPr>
          <w:rStyle w:val="AucunA"/>
          <w:rFonts w:ascii="Times New Roman" w:eastAsia="Arial Unicode MS" w:hAnsi="Times New Roman" w:cs="Times New Roman"/>
          <w:color w:val="auto"/>
          <w:sz w:val="24"/>
          <w:szCs w:val="24"/>
          <w:lang w:eastAsia="en-US"/>
        </w:rPr>
      </w:pPr>
      <w:r>
        <w:rPr>
          <w:rStyle w:val="AucunA"/>
          <w:rFonts w:ascii="Times New Roman" w:hAnsi="Times New Roman"/>
          <w:bCs/>
          <w:sz w:val="24"/>
          <w:szCs w:val="24"/>
          <w:shd w:val="clear" w:color="auto" w:fill="FFFFFF"/>
        </w:rPr>
        <w:t xml:space="preserve">La provenance et les conditions de croissance de l’arbre influent sur les propriétés physiques et mécaniques du bois (Guibal et </w:t>
      </w:r>
      <w:r w:rsidRPr="00F973C6">
        <w:rPr>
          <w:rStyle w:val="AucunA"/>
          <w:rFonts w:ascii="Times New Roman" w:hAnsi="Times New Roman"/>
          <w:bCs/>
          <w:i/>
          <w:sz w:val="24"/>
          <w:szCs w:val="24"/>
          <w:shd w:val="clear" w:color="auto" w:fill="FFFFFF"/>
        </w:rPr>
        <w:t>al.</w:t>
      </w:r>
      <w:r>
        <w:rPr>
          <w:rStyle w:val="AucunA"/>
          <w:rFonts w:ascii="Times New Roman" w:hAnsi="Times New Roman"/>
          <w:bCs/>
          <w:sz w:val="24"/>
          <w:szCs w:val="24"/>
          <w:shd w:val="clear" w:color="auto" w:fill="FFFFFF"/>
        </w:rPr>
        <w:t>, 2016)</w:t>
      </w:r>
      <w:r w:rsidR="00F973C6">
        <w:rPr>
          <w:rStyle w:val="AucunA"/>
          <w:rFonts w:ascii="Times New Roman" w:hAnsi="Times New Roman"/>
          <w:bCs/>
          <w:sz w:val="24"/>
          <w:szCs w:val="24"/>
          <w:shd w:val="clear" w:color="auto" w:fill="FFFFFF"/>
        </w:rPr>
        <w:t>.</w:t>
      </w:r>
      <w:r w:rsidR="00F72CF0" w:rsidRPr="00F72CF0">
        <w:rPr>
          <w:rFonts w:ascii="Times New Roman" w:eastAsia="Arial Unicode MS" w:hAnsi="Times New Roman" w:cs="Times New Roman"/>
          <w:color w:val="auto"/>
          <w:sz w:val="24"/>
          <w:szCs w:val="24"/>
          <w:lang w:eastAsia="en-US"/>
        </w:rPr>
        <w:t xml:space="preserve"> </w:t>
      </w:r>
      <w:r w:rsidR="00F72CF0">
        <w:rPr>
          <w:rFonts w:ascii="Times New Roman" w:eastAsia="Arial Unicode MS" w:hAnsi="Times New Roman" w:cs="Times New Roman"/>
          <w:color w:val="auto"/>
          <w:sz w:val="24"/>
          <w:szCs w:val="24"/>
          <w:lang w:eastAsia="en-US"/>
        </w:rPr>
        <w:t xml:space="preserve">Gérard (1999) recommande que </w:t>
      </w:r>
      <w:r w:rsidR="00F72CF0" w:rsidRPr="00F72CF0">
        <w:rPr>
          <w:rFonts w:ascii="Times New Roman" w:eastAsia="Arial Unicode MS" w:hAnsi="Times New Roman" w:cs="Times New Roman"/>
          <w:color w:val="auto"/>
          <w:sz w:val="24"/>
          <w:szCs w:val="24"/>
          <w:lang w:eastAsia="en-US"/>
        </w:rPr>
        <w:t>c</w:t>
      </w:r>
      <w:r w:rsidR="00F72CF0" w:rsidRPr="00F72CF0">
        <w:rPr>
          <w:rFonts w:ascii="Times New Roman" w:eastAsia="Arial Unicode MS" w:hAnsi="Times New Roman" w:cs="Times New Roman"/>
          <w:color w:val="auto"/>
          <w:sz w:val="24"/>
          <w:szCs w:val="24"/>
          <w:lang w:val="es-ES_tradnl" w:eastAsia="en-US"/>
        </w:rPr>
        <w:t xml:space="preserve">es </w:t>
      </w:r>
      <w:r w:rsidR="00E06998">
        <w:rPr>
          <w:rFonts w:ascii="Times New Roman" w:eastAsia="Arial Unicode MS" w:hAnsi="Times New Roman" w:cs="Times New Roman"/>
          <w:color w:val="auto"/>
          <w:sz w:val="24"/>
          <w:szCs w:val="24"/>
          <w:lang w:val="es-ES_tradnl" w:eastAsia="en-US"/>
        </w:rPr>
        <w:t>propriétés</w:t>
      </w:r>
      <w:r w:rsidR="00F72CF0" w:rsidRPr="00F72CF0">
        <w:rPr>
          <w:rFonts w:ascii="Times New Roman" w:eastAsia="Arial Unicode MS" w:hAnsi="Times New Roman" w:cs="Times New Roman"/>
          <w:color w:val="auto"/>
          <w:sz w:val="24"/>
          <w:szCs w:val="24"/>
          <w:lang w:eastAsia="en-US"/>
        </w:rPr>
        <w:t xml:space="preserve"> qui permettent de qualifier un bois en fonction de l'usage auquel il est destiné doivent être étudiés et analysés plus systématiquement afin de pouvoir répondre de fa</w:t>
      </w:r>
      <w:r w:rsidR="00F72CF0" w:rsidRPr="00F72CF0">
        <w:rPr>
          <w:rFonts w:ascii="Times New Roman" w:eastAsia="Arial Unicode MS" w:hAnsi="Times New Roman" w:cs="Times New Roman"/>
          <w:color w:val="auto"/>
          <w:sz w:val="24"/>
          <w:szCs w:val="24"/>
          <w:lang w:val="pt-PT" w:eastAsia="en-US"/>
        </w:rPr>
        <w:t>ç</w:t>
      </w:r>
      <w:r w:rsidR="00F72CF0" w:rsidRPr="00F72CF0">
        <w:rPr>
          <w:rFonts w:ascii="Times New Roman" w:eastAsia="Arial Unicode MS" w:hAnsi="Times New Roman" w:cs="Times New Roman"/>
          <w:color w:val="auto"/>
          <w:sz w:val="24"/>
          <w:szCs w:val="24"/>
          <w:lang w:val="it-IT" w:eastAsia="en-US"/>
        </w:rPr>
        <w:t xml:space="preserve">on pertinente </w:t>
      </w:r>
      <w:r w:rsidR="00F72CF0" w:rsidRPr="00F72CF0">
        <w:rPr>
          <w:rFonts w:ascii="Times New Roman" w:eastAsia="Arial Unicode MS" w:hAnsi="Times New Roman" w:cs="Times New Roman"/>
          <w:color w:val="auto"/>
          <w:sz w:val="24"/>
          <w:szCs w:val="24"/>
          <w:lang w:eastAsia="en-US"/>
        </w:rPr>
        <w:t>à la demande des industriels</w:t>
      </w:r>
      <w:r w:rsidR="00E06998">
        <w:rPr>
          <w:rFonts w:ascii="Times New Roman" w:eastAsia="Arial Unicode MS" w:hAnsi="Times New Roman" w:cs="Times New Roman"/>
          <w:color w:val="auto"/>
          <w:sz w:val="24"/>
          <w:szCs w:val="24"/>
          <w:lang w:eastAsia="en-US"/>
        </w:rPr>
        <w:t xml:space="preserve"> et simples usagers</w:t>
      </w:r>
      <w:r w:rsidR="00F72CF0" w:rsidRPr="00F72CF0">
        <w:rPr>
          <w:rFonts w:ascii="Times New Roman" w:eastAsia="Arial Unicode MS" w:hAnsi="Times New Roman" w:cs="Times New Roman"/>
          <w:color w:val="auto"/>
          <w:sz w:val="24"/>
          <w:szCs w:val="24"/>
          <w:lang w:eastAsia="en-US"/>
        </w:rPr>
        <w:t xml:space="preserve">, et contribuer ainsi à l'optimisation et au développement durable de l'utilisation des </w:t>
      </w:r>
      <w:r w:rsidR="00E06998">
        <w:rPr>
          <w:rFonts w:ascii="Times New Roman" w:eastAsia="Arial Unicode MS" w:hAnsi="Times New Roman" w:cs="Times New Roman"/>
          <w:color w:val="auto"/>
          <w:sz w:val="24"/>
          <w:szCs w:val="24"/>
          <w:lang w:eastAsia="en-US"/>
        </w:rPr>
        <w:t xml:space="preserve">essences tropicales africaines. Par ailleurs, </w:t>
      </w:r>
      <w:r w:rsidR="00E06998">
        <w:rPr>
          <w:rStyle w:val="AucunA"/>
          <w:rFonts w:ascii="Times New Roman" w:hAnsi="Times New Roman"/>
          <w:bCs/>
          <w:sz w:val="24"/>
          <w:szCs w:val="24"/>
          <w:shd w:val="clear" w:color="auto" w:fill="FFFFFF"/>
        </w:rPr>
        <w:t>l</w:t>
      </w:r>
      <w:r w:rsidR="00F973C6">
        <w:rPr>
          <w:rStyle w:val="AucunA"/>
          <w:rFonts w:ascii="Times New Roman" w:hAnsi="Times New Roman"/>
          <w:bCs/>
          <w:sz w:val="24"/>
          <w:szCs w:val="24"/>
          <w:shd w:val="clear" w:color="auto" w:fill="FFFFFF"/>
        </w:rPr>
        <w:t>’anatomie appliquée permet de comprendre ces dernières propriétés du bois matériau et d’expliquer des variations de qualité des bois et des produits transformés (Louppe, 2016).</w:t>
      </w:r>
      <w:r w:rsidR="00E06998">
        <w:rPr>
          <w:rStyle w:val="AucunA"/>
          <w:rFonts w:ascii="Times New Roman" w:hAnsi="Times New Roman"/>
          <w:bCs/>
          <w:sz w:val="24"/>
          <w:szCs w:val="24"/>
          <w:shd w:val="clear" w:color="auto" w:fill="FFFFFF"/>
        </w:rPr>
        <w:t xml:space="preserve"> Actuellement, elle </w:t>
      </w:r>
      <w:r w:rsidR="00DC0F78">
        <w:rPr>
          <w:rStyle w:val="AucunA"/>
          <w:rFonts w:ascii="Times New Roman" w:hAnsi="Times New Roman"/>
          <w:bCs/>
          <w:sz w:val="24"/>
          <w:szCs w:val="24"/>
          <w:shd w:val="clear" w:color="auto" w:fill="FFFFFF"/>
        </w:rPr>
        <w:t xml:space="preserve">contribue dans la gestion durable des certaines espèces d’arbres par le contrôle du commerce illégal des bois </w:t>
      </w:r>
      <w:r w:rsidR="00067834">
        <w:rPr>
          <w:rStyle w:val="AucunA"/>
          <w:rFonts w:ascii="Times New Roman" w:hAnsi="Times New Roman"/>
          <w:bCs/>
          <w:sz w:val="24"/>
          <w:szCs w:val="24"/>
          <w:shd w:val="clear" w:color="auto" w:fill="FFFFFF"/>
        </w:rPr>
        <w:t>car l’exploitation et le commerce intensifs de celles-ci ainsi que la disparition de leur habitat, peu</w:t>
      </w:r>
      <w:r w:rsidR="000970B5">
        <w:rPr>
          <w:rStyle w:val="AucunA"/>
          <w:rFonts w:ascii="Times New Roman" w:hAnsi="Times New Roman"/>
          <w:bCs/>
          <w:sz w:val="24"/>
          <w:szCs w:val="24"/>
          <w:shd w:val="clear" w:color="auto" w:fill="FFFFFF"/>
        </w:rPr>
        <w:t xml:space="preserve">vent conduire à leur </w:t>
      </w:r>
      <w:r w:rsidR="00CC4315">
        <w:rPr>
          <w:rStyle w:val="AucunA"/>
          <w:rFonts w:ascii="Times New Roman" w:hAnsi="Times New Roman"/>
          <w:bCs/>
          <w:sz w:val="24"/>
          <w:szCs w:val="24"/>
          <w:shd w:val="clear" w:color="auto" w:fill="FFFFFF"/>
        </w:rPr>
        <w:t>extinction</w:t>
      </w:r>
      <w:r w:rsidR="000970B5">
        <w:rPr>
          <w:rStyle w:val="AucunA"/>
          <w:rFonts w:ascii="Times New Roman" w:hAnsi="Times New Roman"/>
          <w:bCs/>
          <w:sz w:val="24"/>
          <w:szCs w:val="24"/>
          <w:shd w:val="clear" w:color="auto" w:fill="FFFFFF"/>
        </w:rPr>
        <w:t xml:space="preserve"> (Louppe, 2016).</w:t>
      </w:r>
      <w:r w:rsidR="00E06998" w:rsidRPr="00E06998">
        <w:rPr>
          <w:rStyle w:val="AucunA"/>
          <w:rFonts w:ascii="Times New Roman" w:hAnsi="Times New Roman"/>
          <w:bCs/>
          <w:sz w:val="24"/>
          <w:szCs w:val="24"/>
          <w:shd w:val="clear" w:color="auto" w:fill="FFFFFF"/>
        </w:rPr>
        <w:t xml:space="preserve"> </w:t>
      </w:r>
      <w:r w:rsidR="00E06998">
        <w:rPr>
          <w:rStyle w:val="AucunA"/>
          <w:rFonts w:ascii="Times New Roman" w:hAnsi="Times New Roman"/>
          <w:bCs/>
          <w:sz w:val="24"/>
          <w:szCs w:val="24"/>
          <w:shd w:val="clear" w:color="auto" w:fill="FFFFFF"/>
        </w:rPr>
        <w:t xml:space="preserve">La maitrise de toutes ces connaissances est notamment nécessaire pour justifier des actions prioritaires de gestion durable (e.g., l’orientation vers la sylviculture et l’intégration dans le programme de reboisement) des espèces menacées par une forte exploitation, en l’occurrence des </w:t>
      </w:r>
      <w:r w:rsidR="00E06998" w:rsidRPr="00A5211A">
        <w:rPr>
          <w:rStyle w:val="AucunA"/>
          <w:rFonts w:ascii="Times New Roman" w:hAnsi="Times New Roman"/>
          <w:bCs/>
          <w:i/>
          <w:sz w:val="24"/>
          <w:szCs w:val="24"/>
          <w:shd w:val="clear" w:color="auto" w:fill="FFFFFF"/>
        </w:rPr>
        <w:t>Entandrophragma</w:t>
      </w:r>
      <w:r w:rsidR="00E06998">
        <w:rPr>
          <w:rStyle w:val="AucunA"/>
          <w:rFonts w:ascii="Times New Roman" w:hAnsi="Times New Roman"/>
          <w:bCs/>
          <w:sz w:val="24"/>
          <w:szCs w:val="24"/>
          <w:shd w:val="clear" w:color="auto" w:fill="FFFFFF"/>
        </w:rPr>
        <w:t>.</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b/>
          <w:bCs/>
          <w:sz w:val="24"/>
          <w:szCs w:val="24"/>
          <w:lang w:val="it-IT"/>
        </w:rPr>
      </w:pPr>
      <w:r>
        <w:rPr>
          <w:rStyle w:val="AucunA"/>
          <w:rFonts w:ascii="Times New Roman" w:hAnsi="Times New Roman"/>
          <w:b/>
          <w:bCs/>
          <w:sz w:val="24"/>
          <w:szCs w:val="24"/>
          <w:lang w:val="it-IT"/>
        </w:rPr>
        <w:t>Propri</w:t>
      </w:r>
      <w:r>
        <w:rPr>
          <w:rStyle w:val="AucunAA"/>
          <w:rFonts w:ascii="Times New Roman" w:hAnsi="Times New Roman"/>
          <w:b/>
          <w:bCs/>
          <w:sz w:val="24"/>
          <w:szCs w:val="24"/>
        </w:rPr>
        <w:t xml:space="preserve">étés anatomiques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Les descriptions anatomiques du bois d’</w:t>
      </w:r>
      <w:r>
        <w:rPr>
          <w:rStyle w:val="AucunA"/>
          <w:rFonts w:ascii="Times New Roman" w:hAnsi="Times New Roman"/>
          <w:i/>
          <w:iCs/>
          <w:sz w:val="24"/>
          <w:szCs w:val="24"/>
        </w:rPr>
        <w:t>Entandrophragma</w:t>
      </w:r>
      <w:r>
        <w:rPr>
          <w:rStyle w:val="AucunA"/>
          <w:rFonts w:ascii="Times New Roman" w:hAnsi="Times New Roman"/>
          <w:sz w:val="24"/>
          <w:szCs w:val="24"/>
        </w:rPr>
        <w:t xml:space="preserve"> selon les normes IAWA ont été faites par plusieurs auteurs dans le cadre de </w:t>
      </w:r>
      <w:r>
        <w:rPr>
          <w:rStyle w:val="AucunA"/>
          <w:rFonts w:ascii="Times New Roman" w:hAnsi="Times New Roman"/>
          <w:sz w:val="24"/>
          <w:szCs w:val="24"/>
          <w:lang w:val="de-DE"/>
        </w:rPr>
        <w:t xml:space="preserve">PROTA (Louppe et Détienne, 2007 ; Louppe </w:t>
      </w:r>
      <w:r>
        <w:rPr>
          <w:rStyle w:val="AucunA"/>
          <w:rFonts w:ascii="Times New Roman" w:hAnsi="Times New Roman"/>
          <w:i/>
          <w:iCs/>
          <w:sz w:val="24"/>
          <w:szCs w:val="24"/>
          <w:lang w:val="de-DE"/>
        </w:rPr>
        <w:t>et al.</w:t>
      </w:r>
      <w:r>
        <w:rPr>
          <w:rStyle w:val="AucunA"/>
          <w:rFonts w:ascii="Times New Roman" w:hAnsi="Times New Roman"/>
          <w:sz w:val="24"/>
          <w:szCs w:val="24"/>
          <w:lang w:val="de-DE"/>
        </w:rPr>
        <w:t xml:space="preserve">, 2008) et ont été intégrées au </w:t>
      </w:r>
      <w:r>
        <w:rPr>
          <w:rStyle w:val="AucunA"/>
          <w:rFonts w:ascii="Times New Roman" w:hAnsi="Times New Roman"/>
          <w:sz w:val="24"/>
          <w:szCs w:val="24"/>
        </w:rPr>
        <w:t xml:space="preserve">site </w:t>
      </w:r>
      <w:r>
        <w:rPr>
          <w:rStyle w:val="AucunA"/>
          <w:rFonts w:ascii="Times New Roman" w:hAnsi="Times New Roman"/>
          <w:i/>
          <w:iCs/>
          <w:sz w:val="24"/>
          <w:szCs w:val="24"/>
        </w:rPr>
        <w:t xml:space="preserve">InsideWood </w:t>
      </w:r>
      <w:r>
        <w:rPr>
          <w:rStyle w:val="AucunA"/>
          <w:rFonts w:ascii="Times New Roman" w:hAnsi="Times New Roman"/>
          <w:sz w:val="24"/>
          <w:szCs w:val="24"/>
        </w:rPr>
        <w:t>(</w:t>
      </w:r>
      <w:hyperlink r:id="rId19" w:history="1">
        <w:r>
          <w:rPr>
            <w:rStyle w:val="Hyperlink7"/>
            <w:rFonts w:eastAsia="Calibri"/>
          </w:rPr>
          <w:t>http://insidewood.lib.ncsu.edu</w:t>
        </w:r>
      </w:hyperlink>
      <w:r>
        <w:rPr>
          <w:rStyle w:val="AucunA"/>
          <w:rFonts w:ascii="Times New Roman" w:hAnsi="Times New Roman"/>
          <w:sz w:val="24"/>
          <w:szCs w:val="24"/>
        </w:rPr>
        <w:t xml:space="preserve">). Les caractères anatomiques du bois de ces espèces diffèrent peu à l’exception de quelques caractères anatomiques distinctifs (Brazier et Franklin, 1961 ; Banak </w:t>
      </w:r>
      <w:r>
        <w:rPr>
          <w:rStyle w:val="AucunA"/>
          <w:rFonts w:ascii="Times New Roman" w:hAnsi="Times New Roman"/>
          <w:i/>
          <w:iCs/>
          <w:sz w:val="24"/>
          <w:szCs w:val="24"/>
        </w:rPr>
        <w:t>et al.</w:t>
      </w:r>
      <w:r>
        <w:rPr>
          <w:rStyle w:val="AucunA"/>
          <w:rFonts w:ascii="Times New Roman" w:hAnsi="Times New Roman"/>
          <w:sz w:val="24"/>
          <w:szCs w:val="24"/>
        </w:rPr>
        <w:t>, 2008; tableau II). La clé d’identification anatomique des quatre principales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proposée par Brazier et Franklin (1961) a été établie à partir du faible nombre de spécimens (4 à 7 par espèce). Elle a donc été reformulée (tableau II) grâce aux descriptions anatomiques réalisées par Banak </w:t>
      </w:r>
      <w:r>
        <w:rPr>
          <w:rStyle w:val="AucunA"/>
          <w:rFonts w:ascii="Times New Roman" w:hAnsi="Times New Roman"/>
          <w:i/>
          <w:iCs/>
          <w:sz w:val="24"/>
          <w:szCs w:val="24"/>
        </w:rPr>
        <w:t xml:space="preserve">et al. </w:t>
      </w:r>
      <w:r>
        <w:rPr>
          <w:rStyle w:val="AucunA"/>
          <w:rFonts w:ascii="Times New Roman" w:hAnsi="Times New Roman"/>
          <w:sz w:val="24"/>
          <w:szCs w:val="24"/>
        </w:rPr>
        <w:t xml:space="preserve">(2008) et repose désormais sur cinq caractères totalement distinctifs pour </w:t>
      </w:r>
      <w:r>
        <w:rPr>
          <w:rStyle w:val="AucunA"/>
          <w:rFonts w:ascii="Times New Roman" w:hAnsi="Times New Roman"/>
          <w:i/>
          <w:iCs/>
          <w:sz w:val="24"/>
          <w:szCs w:val="24"/>
        </w:rPr>
        <w:t>E. candollei</w:t>
      </w:r>
      <w:r>
        <w:rPr>
          <w:rStyle w:val="AucunA"/>
          <w:rFonts w:ascii="Times New Roman" w:hAnsi="Times New Roman"/>
          <w:sz w:val="24"/>
          <w:szCs w:val="24"/>
        </w:rPr>
        <w:t xml:space="preserve"> (43, 84, 159,160 et 161</w:t>
      </w:r>
      <w:r>
        <w:rPr>
          <w:rStyle w:val="AucunA"/>
          <w:rFonts w:ascii="Times New Roman" w:eastAsia="Times New Roman" w:hAnsi="Times New Roman" w:cs="Times New Roman"/>
          <w:sz w:val="24"/>
          <w:szCs w:val="24"/>
          <w:vertAlign w:val="superscript"/>
        </w:rPr>
        <w:footnoteReference w:id="3"/>
      </w:r>
      <w:r>
        <w:rPr>
          <w:rStyle w:val="AucunA"/>
          <w:rFonts w:ascii="Times New Roman" w:hAnsi="Times New Roman"/>
          <w:sz w:val="24"/>
          <w:szCs w:val="24"/>
        </w:rPr>
        <w:t xml:space="preserve">), deux pour </w:t>
      </w:r>
      <w:r>
        <w:rPr>
          <w:rStyle w:val="AucunA"/>
          <w:rFonts w:ascii="Times New Roman" w:hAnsi="Times New Roman"/>
          <w:i/>
          <w:iCs/>
          <w:sz w:val="24"/>
          <w:szCs w:val="24"/>
        </w:rPr>
        <w:t>E. angolense</w:t>
      </w:r>
      <w:r>
        <w:rPr>
          <w:rStyle w:val="AucunA"/>
          <w:rFonts w:ascii="Times New Roman" w:hAnsi="Times New Roman"/>
          <w:sz w:val="24"/>
          <w:szCs w:val="24"/>
        </w:rPr>
        <w:t xml:space="preserve"> (12 et 107) et </w:t>
      </w:r>
      <w:r>
        <w:rPr>
          <w:rStyle w:val="AucunA"/>
          <w:rFonts w:ascii="Times New Roman" w:hAnsi="Times New Roman"/>
          <w:i/>
          <w:iCs/>
          <w:sz w:val="24"/>
          <w:szCs w:val="24"/>
        </w:rPr>
        <w:t xml:space="preserve">E. cylindricum </w:t>
      </w:r>
      <w:r>
        <w:rPr>
          <w:rStyle w:val="AucunA"/>
          <w:rFonts w:ascii="Times New Roman" w:hAnsi="Times New Roman"/>
          <w:sz w:val="24"/>
          <w:szCs w:val="24"/>
        </w:rPr>
        <w:t>(25 et 81).</w:t>
      </w:r>
      <w:r>
        <w:rPr>
          <w:rStyle w:val="AucunA"/>
          <w:rFonts w:ascii="Times New Roman" w:hAnsi="Times New Roman"/>
          <w:i/>
          <w:iCs/>
          <w:sz w:val="24"/>
          <w:szCs w:val="24"/>
        </w:rPr>
        <w:t xml:space="preserve"> </w:t>
      </w:r>
      <w:r>
        <w:rPr>
          <w:rStyle w:val="AucunA"/>
          <w:rFonts w:ascii="Times New Roman" w:hAnsi="Times New Roman"/>
          <w:sz w:val="24"/>
          <w:szCs w:val="24"/>
        </w:rPr>
        <w:t xml:space="preserve">Cinq caractères anatomiques moyennement distinctifs (97, 104, 118, 131 et 137) rapprochent </w:t>
      </w:r>
      <w:r>
        <w:rPr>
          <w:rStyle w:val="AucunA"/>
          <w:rFonts w:ascii="Times New Roman" w:hAnsi="Times New Roman"/>
          <w:i/>
          <w:iCs/>
          <w:sz w:val="24"/>
          <w:szCs w:val="24"/>
        </w:rPr>
        <w:t>E. cylindricum</w:t>
      </w:r>
      <w:r>
        <w:rPr>
          <w:rStyle w:val="AucunA"/>
          <w:rFonts w:ascii="Times New Roman" w:hAnsi="Times New Roman"/>
          <w:sz w:val="24"/>
          <w:szCs w:val="24"/>
        </w:rPr>
        <w:t xml:space="preserve"> et </w:t>
      </w:r>
      <w:r>
        <w:rPr>
          <w:rStyle w:val="AucunA"/>
          <w:rFonts w:ascii="Times New Roman" w:hAnsi="Times New Roman"/>
          <w:i/>
          <w:iCs/>
          <w:sz w:val="24"/>
          <w:szCs w:val="24"/>
        </w:rPr>
        <w:t>E. utile</w:t>
      </w:r>
      <w:r w:rsidR="00ED0751">
        <w:rPr>
          <w:rStyle w:val="AucunA"/>
          <w:rFonts w:ascii="Times New Roman" w:hAnsi="Times New Roman"/>
          <w:i/>
          <w:iCs/>
          <w:sz w:val="24"/>
          <w:szCs w:val="24"/>
        </w:rPr>
        <w:t xml:space="preserve">. </w:t>
      </w:r>
      <w:r w:rsidR="00ED0751" w:rsidRPr="00D536C7">
        <w:rPr>
          <w:rFonts w:ascii="Times New Roman" w:eastAsia="Arial Unicode MS" w:hAnsi="Times New Roman" w:cs="Times New Roman"/>
          <w:iCs/>
          <w:color w:val="auto"/>
          <w:sz w:val="24"/>
          <w:szCs w:val="24"/>
          <w:lang w:eastAsia="en-US"/>
        </w:rPr>
        <w:t>La</w:t>
      </w:r>
      <w:r w:rsidR="00ED0751" w:rsidRPr="00D536C7">
        <w:rPr>
          <w:rFonts w:ascii="Times New Roman" w:eastAsia="Arial Unicode MS" w:hAnsi="Times New Roman" w:cs="Times New Roman"/>
          <w:i/>
          <w:iCs/>
          <w:color w:val="auto"/>
          <w:sz w:val="24"/>
          <w:szCs w:val="24"/>
          <w:lang w:eastAsia="en-US"/>
        </w:rPr>
        <w:t xml:space="preserve"> </w:t>
      </w:r>
      <w:r w:rsidR="00ED0751" w:rsidRPr="00D536C7">
        <w:rPr>
          <w:rFonts w:ascii="Times New Roman" w:eastAsia="Arial Unicode MS" w:hAnsi="Times New Roman" w:cs="Times New Roman"/>
          <w:iCs/>
          <w:color w:val="auto"/>
          <w:sz w:val="24"/>
          <w:szCs w:val="24"/>
          <w:lang w:eastAsia="en-US"/>
        </w:rPr>
        <w:t xml:space="preserve">séparation de ces deux espèces est principalement basée sur la présence deux caractères anatomiques totalement distinctifs (25 et 81) et d’un caractère anatomique faiblement distinctif (98) pour </w:t>
      </w:r>
      <w:r w:rsidR="00ED0751" w:rsidRPr="00D536C7">
        <w:rPr>
          <w:rFonts w:ascii="Times New Roman" w:eastAsia="Arial Unicode MS" w:hAnsi="Times New Roman" w:cs="Times New Roman"/>
          <w:i/>
          <w:iCs/>
          <w:color w:val="auto"/>
          <w:sz w:val="24"/>
          <w:szCs w:val="24"/>
          <w:lang w:eastAsia="en-US"/>
        </w:rPr>
        <w:t>E. cylindricum</w:t>
      </w:r>
      <w:r w:rsidR="00ED0751" w:rsidRPr="00D536C7">
        <w:rPr>
          <w:rFonts w:ascii="Times New Roman" w:eastAsia="Arial Unicode MS" w:hAnsi="Times New Roman" w:cs="Times New Roman"/>
          <w:iCs/>
          <w:color w:val="auto"/>
          <w:sz w:val="24"/>
          <w:szCs w:val="24"/>
          <w:lang w:eastAsia="en-US"/>
        </w:rPr>
        <w:t xml:space="preserve">, ainsi que celle d’un caractère anatomique faiblement distinctif pour </w:t>
      </w:r>
      <w:r w:rsidR="00ED0751" w:rsidRPr="00D536C7">
        <w:rPr>
          <w:rFonts w:ascii="Times New Roman" w:eastAsia="Arial Unicode MS" w:hAnsi="Times New Roman" w:cs="Times New Roman"/>
          <w:i/>
          <w:iCs/>
          <w:color w:val="auto"/>
          <w:sz w:val="24"/>
          <w:szCs w:val="24"/>
          <w:lang w:eastAsia="en-US"/>
        </w:rPr>
        <w:t xml:space="preserve">E. utile </w:t>
      </w:r>
      <w:r w:rsidR="00ED0751" w:rsidRPr="00D536C7">
        <w:rPr>
          <w:rFonts w:ascii="Times New Roman" w:eastAsia="Arial Unicode MS" w:hAnsi="Times New Roman" w:cs="Times New Roman"/>
          <w:iCs/>
          <w:color w:val="auto"/>
          <w:sz w:val="24"/>
          <w:szCs w:val="24"/>
          <w:lang w:eastAsia="en-US"/>
        </w:rPr>
        <w:t>(46).</w:t>
      </w:r>
      <w:r w:rsidR="00D536C7" w:rsidRPr="00D536C7">
        <w:rPr>
          <w:rFonts w:ascii="Times New Roman" w:eastAsia="Arial Unicode MS" w:hAnsi="Times New Roman" w:cs="Times New Roman"/>
          <w:iCs/>
          <w:color w:val="auto"/>
          <w:sz w:val="24"/>
          <w:szCs w:val="24"/>
          <w:lang w:eastAsia="en-US"/>
        </w:rPr>
        <w:t xml:space="preserve"> </w:t>
      </w:r>
      <w:r>
        <w:rPr>
          <w:rStyle w:val="AucunA"/>
          <w:rFonts w:ascii="Times New Roman" w:hAnsi="Times New Roman"/>
          <w:sz w:val="24"/>
          <w:szCs w:val="24"/>
        </w:rPr>
        <w:t>Néanmoins,</w:t>
      </w:r>
      <w:r>
        <w:rPr>
          <w:rStyle w:val="AucunA"/>
          <w:rFonts w:ascii="Times New Roman" w:hAnsi="Times New Roman"/>
          <w:i/>
          <w:iCs/>
          <w:sz w:val="24"/>
          <w:szCs w:val="24"/>
        </w:rPr>
        <w:t xml:space="preserve"> </w:t>
      </w:r>
      <w:r>
        <w:rPr>
          <w:rStyle w:val="AucunA"/>
          <w:rFonts w:ascii="Times New Roman" w:hAnsi="Times New Roman"/>
          <w:sz w:val="24"/>
          <w:szCs w:val="24"/>
        </w:rPr>
        <w:t xml:space="preserve">le bois de </w:t>
      </w:r>
      <w:r>
        <w:rPr>
          <w:rStyle w:val="AucunA"/>
          <w:rFonts w:ascii="Times New Roman" w:hAnsi="Times New Roman"/>
          <w:i/>
          <w:iCs/>
          <w:sz w:val="24"/>
          <w:szCs w:val="24"/>
        </w:rPr>
        <w:t>E. cylindricum</w:t>
      </w:r>
      <w:r>
        <w:rPr>
          <w:rStyle w:val="AucunA"/>
          <w:rFonts w:ascii="Times New Roman" w:hAnsi="Times New Roman"/>
          <w:sz w:val="24"/>
          <w:szCs w:val="24"/>
        </w:rPr>
        <w:t xml:space="preserve"> a souvent une plus jolie couleur et est plus joliment figuré (Lemmens et </w:t>
      </w:r>
      <w:r w:rsidRPr="00F4414F">
        <w:rPr>
          <w:rStyle w:val="AucunA"/>
          <w:rFonts w:ascii="Times New Roman" w:hAnsi="Times New Roman"/>
          <w:i/>
          <w:sz w:val="24"/>
          <w:szCs w:val="24"/>
        </w:rPr>
        <w:t>al.</w:t>
      </w:r>
      <w:r>
        <w:rPr>
          <w:rStyle w:val="AucunA"/>
          <w:rFonts w:ascii="Times New Roman" w:hAnsi="Times New Roman"/>
          <w:sz w:val="24"/>
          <w:szCs w:val="24"/>
        </w:rPr>
        <w:t>, 2008). Les bois d’</w:t>
      </w:r>
      <w:r>
        <w:rPr>
          <w:rStyle w:val="AucunA"/>
          <w:rFonts w:ascii="Times New Roman" w:hAnsi="Times New Roman"/>
          <w:i/>
          <w:iCs/>
          <w:sz w:val="24"/>
          <w:szCs w:val="24"/>
        </w:rPr>
        <w:t>E. candollei</w:t>
      </w:r>
      <w:r>
        <w:rPr>
          <w:rStyle w:val="AucunA"/>
          <w:rFonts w:ascii="Times New Roman" w:hAnsi="Times New Roman"/>
          <w:sz w:val="24"/>
          <w:szCs w:val="24"/>
        </w:rPr>
        <w:t xml:space="preserve"> et </w:t>
      </w:r>
      <w:r>
        <w:rPr>
          <w:rStyle w:val="AucunA"/>
          <w:rFonts w:ascii="Times New Roman" w:hAnsi="Times New Roman"/>
          <w:i/>
          <w:iCs/>
          <w:sz w:val="24"/>
          <w:szCs w:val="24"/>
        </w:rPr>
        <w:t xml:space="preserve">E. angolense </w:t>
      </w:r>
      <w:r>
        <w:rPr>
          <w:rStyle w:val="AucunA"/>
          <w:rFonts w:ascii="Times New Roman" w:hAnsi="Times New Roman"/>
          <w:sz w:val="24"/>
          <w:szCs w:val="24"/>
        </w:rPr>
        <w:t>ont</w:t>
      </w:r>
      <w:r>
        <w:rPr>
          <w:rStyle w:val="AucunA"/>
          <w:rFonts w:ascii="Times New Roman" w:hAnsi="Times New Roman"/>
          <w:i/>
          <w:iCs/>
          <w:sz w:val="24"/>
          <w:szCs w:val="24"/>
        </w:rPr>
        <w:t xml:space="preserve"> </w:t>
      </w:r>
      <w:r>
        <w:rPr>
          <w:rStyle w:val="AucunA"/>
          <w:rFonts w:ascii="Times New Roman" w:hAnsi="Times New Roman"/>
          <w:sz w:val="24"/>
          <w:szCs w:val="24"/>
        </w:rPr>
        <w:t>en commun un caractère anatomique moyennement distinctif</w:t>
      </w:r>
      <w:r>
        <w:rPr>
          <w:rStyle w:val="AucunA"/>
          <w:rFonts w:ascii="Times New Roman" w:hAnsi="Times New Roman"/>
          <w:i/>
          <w:iCs/>
          <w:sz w:val="24"/>
          <w:szCs w:val="24"/>
        </w:rPr>
        <w:t xml:space="preserve"> </w:t>
      </w:r>
      <w:r>
        <w:rPr>
          <w:rStyle w:val="AucunA"/>
          <w:rFonts w:ascii="Times New Roman" w:hAnsi="Times New Roman"/>
          <w:sz w:val="24"/>
          <w:szCs w:val="24"/>
        </w:rPr>
        <w:t xml:space="preserve">(94). </w:t>
      </w:r>
      <w:r>
        <w:rPr>
          <w:rStyle w:val="AucunA"/>
          <w:rFonts w:ascii="Times New Roman" w:hAnsi="Times New Roman"/>
          <w:i/>
          <w:iCs/>
          <w:sz w:val="24"/>
          <w:szCs w:val="24"/>
        </w:rPr>
        <w:t>E. candollei</w:t>
      </w:r>
      <w:r>
        <w:rPr>
          <w:rStyle w:val="AucunA"/>
          <w:rFonts w:ascii="Times New Roman" w:hAnsi="Times New Roman"/>
          <w:sz w:val="24"/>
          <w:szCs w:val="24"/>
        </w:rPr>
        <w:t xml:space="preserve"> se différencie des trois autres espèces par la présence de silice dans les rayons, le parenchyme axial et dans les fibres (159, 160 et 161).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L’anatomie du bois de ces espèces devrait être approfondie, ce qui devrait permettre de mieux distinguer les limites des cernes de croissance via l’analyse du diamètre des vaisseaux et d’améliorer ainsi les connaissances sur leur croissance en diamètre et en hauteur en mesurant </w:t>
      </w:r>
      <w:r>
        <w:rPr>
          <w:rStyle w:val="AucunA"/>
          <w:rFonts w:ascii="Times New Roman" w:hAnsi="Times New Roman"/>
          <w:sz w:val="24"/>
          <w:szCs w:val="24"/>
        </w:rPr>
        <w:lastRenderedPageBreak/>
        <w:t>la largeur des cernes de la moelle à l’écorce à différentes hauteurs du tronc (Beeckman, 2016).</w:t>
      </w:r>
      <w:r>
        <w:rPr>
          <w:rStyle w:val="AucunA"/>
          <w:sz w:val="24"/>
          <w:szCs w:val="24"/>
        </w:rPr>
        <w:t xml:space="preserve"> </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b/>
          <w:bCs/>
          <w:sz w:val="24"/>
          <w:szCs w:val="24"/>
          <w:lang w:val="it-IT"/>
        </w:rPr>
        <w:t>Propri</w:t>
      </w:r>
      <w:r>
        <w:rPr>
          <w:rStyle w:val="AucunA"/>
          <w:rFonts w:ascii="Times New Roman" w:hAnsi="Times New Roman"/>
          <w:b/>
          <w:bCs/>
          <w:sz w:val="24"/>
          <w:szCs w:val="24"/>
        </w:rPr>
        <w:t xml:space="preserve">étés technologiques </w:t>
      </w:r>
    </w:p>
    <w:p w:rsidR="003A53F7" w:rsidRDefault="00670B5E">
      <w:pPr>
        <w:pStyle w:val="CorpsA"/>
        <w:suppressAutoHyphens/>
        <w:spacing w:line="480" w:lineRule="auto"/>
        <w:jc w:val="both"/>
        <w:rPr>
          <w:rStyle w:val="AucunA"/>
          <w:sz w:val="24"/>
          <w:szCs w:val="24"/>
        </w:rPr>
      </w:pPr>
      <w:r>
        <w:rPr>
          <w:rStyle w:val="AucunA"/>
          <w:rFonts w:ascii="Times New Roman" w:hAnsi="Times New Roman"/>
          <w:sz w:val="24"/>
          <w:szCs w:val="24"/>
        </w:rPr>
        <w:t>Les propriétés du bois des principales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exploitées sont bien documentées (</w:t>
      </w:r>
      <w:r w:rsidR="000970B5">
        <w:rPr>
          <w:rStyle w:val="AucunA"/>
          <w:rFonts w:ascii="Times New Roman" w:hAnsi="Times New Roman"/>
          <w:sz w:val="24"/>
          <w:szCs w:val="24"/>
          <w:lang w:val="nl-NL"/>
        </w:rPr>
        <w:t>ATIBT, 1986</w:t>
      </w:r>
      <w:r>
        <w:rPr>
          <w:rStyle w:val="AucunA"/>
          <w:rFonts w:ascii="Times New Roman" w:hAnsi="Times New Roman"/>
          <w:sz w:val="24"/>
          <w:szCs w:val="24"/>
          <w:lang w:val="nl-NL"/>
        </w:rPr>
        <w:t xml:space="preserve"> ;</w:t>
      </w:r>
      <w:r>
        <w:rPr>
          <w:rStyle w:val="AucunA"/>
          <w:rFonts w:ascii="Times New Roman" w:hAnsi="Times New Roman"/>
          <w:sz w:val="24"/>
          <w:szCs w:val="24"/>
        </w:rPr>
        <w:t xml:space="preserve"> </w:t>
      </w:r>
      <w:r>
        <w:rPr>
          <w:rStyle w:val="AucunA"/>
          <w:rFonts w:ascii="Times New Roman" w:hAnsi="Times New Roman"/>
          <w:sz w:val="24"/>
          <w:szCs w:val="24"/>
          <w:lang w:val="nl-NL"/>
        </w:rPr>
        <w:t xml:space="preserve">Gérard </w:t>
      </w:r>
      <w:r>
        <w:rPr>
          <w:rStyle w:val="AucunA"/>
          <w:rFonts w:ascii="Times New Roman" w:hAnsi="Times New Roman"/>
          <w:i/>
          <w:iCs/>
          <w:sz w:val="24"/>
          <w:szCs w:val="24"/>
          <w:lang w:val="nl-NL"/>
        </w:rPr>
        <w:t>et al.</w:t>
      </w:r>
      <w:r>
        <w:rPr>
          <w:rStyle w:val="AucunA"/>
          <w:rFonts w:ascii="Times New Roman" w:hAnsi="Times New Roman"/>
          <w:sz w:val="24"/>
          <w:szCs w:val="24"/>
          <w:lang w:val="nl-NL"/>
        </w:rPr>
        <w:t>, 1998 ; Dahms, 1999 ;</w:t>
      </w:r>
      <w:r>
        <w:rPr>
          <w:rStyle w:val="AucunA"/>
          <w:sz w:val="24"/>
          <w:szCs w:val="24"/>
        </w:rPr>
        <w:t xml:space="preserve"> </w:t>
      </w:r>
      <w:r>
        <w:rPr>
          <w:rStyle w:val="AucunA"/>
          <w:rFonts w:ascii="Times New Roman" w:hAnsi="Times New Roman"/>
          <w:sz w:val="24"/>
          <w:szCs w:val="24"/>
        </w:rPr>
        <w:t xml:space="preserve">Kémeuzé, 2008 ; </w:t>
      </w:r>
      <w:r>
        <w:rPr>
          <w:rStyle w:val="AucunA"/>
          <w:sz w:val="24"/>
          <w:szCs w:val="24"/>
        </w:rPr>
        <w:t xml:space="preserve"> </w:t>
      </w:r>
      <w:r>
        <w:rPr>
          <w:rStyle w:val="AucunA"/>
          <w:rFonts w:ascii="Times New Roman" w:hAnsi="Times New Roman"/>
          <w:sz w:val="24"/>
          <w:szCs w:val="24"/>
        </w:rPr>
        <w:t>Nyunaï, 2008 ;</w:t>
      </w:r>
      <w:r>
        <w:rPr>
          <w:rStyle w:val="AucunA"/>
          <w:sz w:val="24"/>
          <w:szCs w:val="24"/>
        </w:rPr>
        <w:t xml:space="preserve"> </w:t>
      </w:r>
      <w:r>
        <w:rPr>
          <w:rStyle w:val="AucunA"/>
          <w:rFonts w:ascii="Times New Roman" w:hAnsi="Times New Roman"/>
          <w:sz w:val="24"/>
          <w:szCs w:val="24"/>
          <w:lang w:val="nl-NL"/>
        </w:rPr>
        <w:t xml:space="preserve">Tchinda, 2008 ; CIRAD, 2015 ; Gérard </w:t>
      </w:r>
      <w:r>
        <w:rPr>
          <w:rStyle w:val="AucunA"/>
          <w:rFonts w:ascii="Times New Roman" w:hAnsi="Times New Roman"/>
          <w:i/>
          <w:iCs/>
          <w:sz w:val="24"/>
          <w:szCs w:val="24"/>
          <w:lang w:val="nl-NL"/>
        </w:rPr>
        <w:t>et al.</w:t>
      </w:r>
      <w:r>
        <w:rPr>
          <w:rStyle w:val="AucunA"/>
          <w:rFonts w:ascii="Times New Roman" w:hAnsi="Times New Roman"/>
          <w:sz w:val="24"/>
          <w:szCs w:val="24"/>
          <w:lang w:val="nl-NL"/>
        </w:rPr>
        <w:t>, 2016).</w:t>
      </w:r>
      <w:r>
        <w:rPr>
          <w:rStyle w:val="AucunA"/>
          <w:rFonts w:ascii="Times New Roman" w:hAnsi="Times New Roman"/>
          <w:sz w:val="24"/>
          <w:szCs w:val="24"/>
        </w:rPr>
        <w:t xml:space="preserve"> Elles apparaissent très variables d’une espèce à l’autre comme au sein d’une espèce donnée. Les principales caractéristiques physiques et mécaniques (e.g., masse volumique à l’état sec, dureté et stabilité) des quatre espèces commerciales d’</w:t>
      </w:r>
      <w:r>
        <w:rPr>
          <w:rStyle w:val="AucunA"/>
          <w:rFonts w:ascii="Times New Roman" w:hAnsi="Times New Roman"/>
          <w:i/>
          <w:iCs/>
          <w:sz w:val="24"/>
          <w:szCs w:val="24"/>
        </w:rPr>
        <w:t>Entandrophragma</w:t>
      </w:r>
      <w:r>
        <w:rPr>
          <w:rStyle w:val="AucunA"/>
          <w:rFonts w:ascii="Times New Roman" w:hAnsi="Times New Roman"/>
          <w:sz w:val="24"/>
          <w:szCs w:val="24"/>
        </w:rPr>
        <w:t xml:space="preserve"> sont ré</w:t>
      </w:r>
      <w:r>
        <w:rPr>
          <w:rStyle w:val="AucunA"/>
          <w:rFonts w:ascii="Times New Roman" w:hAnsi="Times New Roman"/>
          <w:sz w:val="24"/>
          <w:szCs w:val="24"/>
          <w:lang w:val="pt-PT"/>
        </w:rPr>
        <w:t>sum</w:t>
      </w:r>
      <w:r>
        <w:rPr>
          <w:rStyle w:val="AucunA"/>
          <w:rFonts w:ascii="Times New Roman" w:hAnsi="Times New Roman"/>
          <w:sz w:val="24"/>
          <w:szCs w:val="24"/>
        </w:rPr>
        <w:t>ées au tableau III.</w:t>
      </w:r>
      <w:r>
        <w:rPr>
          <w:rStyle w:val="AucunA"/>
          <w:rFonts w:ascii="Times New Roman" w:hAnsi="Times New Roman"/>
          <w:b/>
          <w:bCs/>
          <w:sz w:val="24"/>
          <w:szCs w:val="24"/>
        </w:rPr>
        <w:t xml:space="preserve"> </w:t>
      </w:r>
      <w:r>
        <w:rPr>
          <w:rStyle w:val="AucunA"/>
          <w:rFonts w:ascii="Times New Roman" w:hAnsi="Times New Roman"/>
          <w:sz w:val="24"/>
          <w:szCs w:val="24"/>
        </w:rPr>
        <w:t>Celles-ci prédisposent ces espèces à l’industrie du bois, d’autant que leur bois est également connu pour résister aux attaques de champignons</w:t>
      </w:r>
      <w:r w:rsidR="00ED0751">
        <w:rPr>
          <w:rStyle w:val="AucunA"/>
          <w:rFonts w:ascii="Times New Roman" w:hAnsi="Times New Roman"/>
          <w:sz w:val="24"/>
          <w:szCs w:val="24"/>
        </w:rPr>
        <w:t>, d’insectes de bois sec</w:t>
      </w:r>
      <w:r>
        <w:rPr>
          <w:rStyle w:val="AucunA"/>
          <w:rFonts w:ascii="Times New Roman" w:hAnsi="Times New Roman"/>
          <w:sz w:val="24"/>
          <w:szCs w:val="24"/>
        </w:rPr>
        <w:t xml:space="preserve"> et de termites (Staner </w:t>
      </w:r>
      <w:r>
        <w:rPr>
          <w:rStyle w:val="AucunA"/>
          <w:rFonts w:ascii="Times New Roman" w:hAnsi="Times New Roman"/>
          <w:i/>
          <w:iCs/>
          <w:sz w:val="24"/>
          <w:szCs w:val="24"/>
        </w:rPr>
        <w:t>et al.</w:t>
      </w:r>
      <w:r>
        <w:rPr>
          <w:rStyle w:val="AucunA"/>
          <w:rFonts w:ascii="Times New Roman" w:hAnsi="Times New Roman"/>
          <w:sz w:val="24"/>
          <w:szCs w:val="24"/>
        </w:rPr>
        <w:t xml:space="preserve">, 1958 ; Gérard </w:t>
      </w:r>
      <w:r>
        <w:rPr>
          <w:rStyle w:val="AucunA"/>
          <w:rFonts w:ascii="Times New Roman" w:hAnsi="Times New Roman"/>
          <w:i/>
          <w:iCs/>
          <w:sz w:val="24"/>
          <w:szCs w:val="24"/>
        </w:rPr>
        <w:t>et al.</w:t>
      </w:r>
      <w:r>
        <w:rPr>
          <w:rStyle w:val="AucunA"/>
          <w:rFonts w:ascii="Times New Roman" w:hAnsi="Times New Roman"/>
          <w:sz w:val="24"/>
          <w:szCs w:val="24"/>
        </w:rPr>
        <w:t xml:space="preserve">, 2016). </w:t>
      </w:r>
    </w:p>
    <w:p w:rsidR="003A53F7" w:rsidRDefault="00670B5E">
      <w:pPr>
        <w:pStyle w:val="CorpsA"/>
        <w:numPr>
          <w:ilvl w:val="0"/>
          <w:numId w:val="2"/>
        </w:numPr>
        <w:suppressAutoHyphens/>
        <w:spacing w:after="0" w:line="480" w:lineRule="auto"/>
        <w:jc w:val="both"/>
        <w:rPr>
          <w:rStyle w:val="AucunA"/>
          <w:rFonts w:ascii="Times New Roman" w:eastAsia="Times New Roman" w:hAnsi="Times New Roman" w:cs="Times New Roman"/>
          <w:b/>
          <w:bCs/>
          <w:sz w:val="24"/>
          <w:szCs w:val="24"/>
          <w:shd w:val="clear" w:color="auto" w:fill="FFFFFF"/>
        </w:rPr>
      </w:pPr>
      <w:r>
        <w:rPr>
          <w:rStyle w:val="AucunA"/>
          <w:rFonts w:ascii="Times New Roman" w:hAnsi="Times New Roman"/>
          <w:b/>
          <w:bCs/>
          <w:sz w:val="24"/>
          <w:szCs w:val="24"/>
          <w:shd w:val="clear" w:color="auto" w:fill="FFFFFF"/>
        </w:rPr>
        <w:t>Valeur socio-économique</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Valeur économique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Les espèces d’</w:t>
      </w:r>
      <w:r>
        <w:rPr>
          <w:rStyle w:val="AucunA"/>
          <w:rFonts w:ascii="Times New Roman" w:hAnsi="Times New Roman"/>
          <w:i/>
          <w:iCs/>
          <w:sz w:val="24"/>
          <w:szCs w:val="24"/>
        </w:rPr>
        <w:t xml:space="preserve">Entandrophragma </w:t>
      </w:r>
      <w:r>
        <w:rPr>
          <w:rStyle w:val="AucunA"/>
          <w:rFonts w:ascii="Times New Roman" w:hAnsi="Times New Roman"/>
          <w:sz w:val="24"/>
          <w:szCs w:val="24"/>
        </w:rPr>
        <w:t xml:space="preserve">tout comme celles de </w:t>
      </w:r>
      <w:r>
        <w:rPr>
          <w:rStyle w:val="AucunA"/>
          <w:rFonts w:ascii="Times New Roman" w:hAnsi="Times New Roman"/>
          <w:i/>
          <w:iCs/>
          <w:sz w:val="24"/>
          <w:szCs w:val="24"/>
        </w:rPr>
        <w:t>Swietenia</w:t>
      </w:r>
      <w:r>
        <w:rPr>
          <w:rStyle w:val="AucunA"/>
          <w:rFonts w:ascii="Times New Roman" w:hAnsi="Times New Roman"/>
          <w:sz w:val="24"/>
          <w:szCs w:val="24"/>
        </w:rPr>
        <w:t xml:space="preserve"> Jacq. et </w:t>
      </w:r>
      <w:r>
        <w:rPr>
          <w:rStyle w:val="AucunA"/>
          <w:rFonts w:ascii="Times New Roman" w:hAnsi="Times New Roman"/>
          <w:i/>
          <w:iCs/>
          <w:sz w:val="24"/>
          <w:szCs w:val="24"/>
        </w:rPr>
        <w:t xml:space="preserve">Khaya </w:t>
      </w:r>
      <w:r>
        <w:rPr>
          <w:rStyle w:val="AucunA"/>
          <w:rFonts w:ascii="Times New Roman" w:hAnsi="Times New Roman"/>
          <w:sz w:val="24"/>
          <w:szCs w:val="24"/>
        </w:rPr>
        <w:t xml:space="preserve">A. Juss. sont reprises sous l’appellation anglo-saxone « </w:t>
      </w:r>
      <w:r>
        <w:rPr>
          <w:rStyle w:val="AucunA"/>
          <w:rFonts w:ascii="Times New Roman" w:hAnsi="Times New Roman"/>
          <w:sz w:val="24"/>
          <w:szCs w:val="24"/>
          <w:lang w:val="es-ES_tradnl"/>
        </w:rPr>
        <w:t>Mahogany</w:t>
      </w:r>
      <w:r>
        <w:rPr>
          <w:rStyle w:val="AucunA"/>
          <w:rFonts w:ascii="Times New Roman" w:hAnsi="Times New Roman"/>
          <w:sz w:val="24"/>
          <w:szCs w:val="24"/>
        </w:rPr>
        <w:t xml:space="preserve"> » ou acajou, regroupant les meilleurs bois d’ébénisterie dans le monde (White et Gasson, 2008). Les « acajous d’Afrique » regroupent les genres </w:t>
      </w:r>
      <w:r>
        <w:rPr>
          <w:rStyle w:val="AucunA"/>
          <w:rFonts w:ascii="Times New Roman" w:hAnsi="Times New Roman"/>
          <w:i/>
          <w:iCs/>
          <w:sz w:val="24"/>
          <w:szCs w:val="24"/>
        </w:rPr>
        <w:t>Khaya</w:t>
      </w:r>
      <w:r>
        <w:rPr>
          <w:rStyle w:val="AucunA"/>
          <w:rFonts w:ascii="Times New Roman" w:hAnsi="Times New Roman"/>
          <w:sz w:val="24"/>
          <w:szCs w:val="24"/>
        </w:rPr>
        <w:t xml:space="preserve"> et </w:t>
      </w:r>
      <w:r>
        <w:rPr>
          <w:rStyle w:val="AucunA"/>
          <w:rFonts w:ascii="Times New Roman" w:hAnsi="Times New Roman"/>
          <w:i/>
          <w:iCs/>
          <w:sz w:val="24"/>
          <w:szCs w:val="24"/>
        </w:rPr>
        <w:t xml:space="preserve">Entandrophragma </w:t>
      </w:r>
      <w:r>
        <w:rPr>
          <w:rStyle w:val="AucunA"/>
          <w:rFonts w:ascii="Times New Roman" w:hAnsi="Times New Roman"/>
          <w:sz w:val="24"/>
          <w:szCs w:val="24"/>
        </w:rPr>
        <w:t>qui sont parmi les espè</w:t>
      </w:r>
      <w:r>
        <w:rPr>
          <w:rStyle w:val="AucunA"/>
          <w:rFonts w:ascii="Times New Roman" w:hAnsi="Times New Roman"/>
          <w:sz w:val="24"/>
          <w:szCs w:val="24"/>
          <w:lang w:val="da-DK"/>
        </w:rPr>
        <w:t>ces foresti</w:t>
      </w:r>
      <w:r>
        <w:rPr>
          <w:rStyle w:val="AucunA"/>
          <w:rFonts w:ascii="Times New Roman" w:hAnsi="Times New Roman"/>
          <w:sz w:val="24"/>
          <w:szCs w:val="24"/>
        </w:rPr>
        <w:t xml:space="preserve">ères les plus précieuses et qui, par exemple, ont représenté jusqu’à plus de 70% du volume total exporté de RCA (Hall, 2008). Ceci s’explique aussi  par le fait que </w:t>
      </w:r>
      <w:r>
        <w:rPr>
          <w:rStyle w:val="AucunA"/>
          <w:rFonts w:ascii="Times New Roman" w:hAnsi="Times New Roman"/>
          <w:i/>
          <w:iCs/>
          <w:sz w:val="24"/>
          <w:szCs w:val="24"/>
        </w:rPr>
        <w:t xml:space="preserve">Entandrophragma </w:t>
      </w:r>
      <w:r>
        <w:rPr>
          <w:rStyle w:val="AucunA"/>
          <w:rFonts w:ascii="Times New Roman" w:hAnsi="Times New Roman"/>
          <w:sz w:val="24"/>
          <w:szCs w:val="24"/>
        </w:rPr>
        <w:t xml:space="preserve">est le seul genre dont quatre espèces sont exploitées en forêts denses humides africaines (Staner </w:t>
      </w:r>
      <w:r>
        <w:rPr>
          <w:rStyle w:val="AucunA"/>
          <w:rFonts w:ascii="Times New Roman" w:hAnsi="Times New Roman"/>
          <w:i/>
          <w:iCs/>
          <w:sz w:val="24"/>
          <w:szCs w:val="24"/>
        </w:rPr>
        <w:t>et al.</w:t>
      </w:r>
      <w:r>
        <w:rPr>
          <w:rStyle w:val="AucunA"/>
          <w:rFonts w:ascii="Times New Roman" w:hAnsi="Times New Roman"/>
          <w:sz w:val="24"/>
          <w:szCs w:val="24"/>
        </w:rPr>
        <w:t xml:space="preserve">, 1958 ; Bayol </w:t>
      </w:r>
      <w:r>
        <w:rPr>
          <w:rStyle w:val="AucunA"/>
          <w:rFonts w:ascii="Times New Roman" w:hAnsi="Times New Roman"/>
          <w:i/>
          <w:iCs/>
          <w:sz w:val="24"/>
          <w:szCs w:val="24"/>
        </w:rPr>
        <w:t>et al.</w:t>
      </w:r>
      <w:r>
        <w:rPr>
          <w:rStyle w:val="AucunA"/>
          <w:rFonts w:ascii="Times New Roman" w:hAnsi="Times New Roman"/>
          <w:sz w:val="24"/>
          <w:szCs w:val="24"/>
        </w:rPr>
        <w:t xml:space="preserve">, 2012). Pour comprendre l’importance économique de ces espèces, il serait important de connaitre l’évolution des récoltes dans leur aire de répartition depuis les années 1960 par exemple et de suivre la migration des zones de récolte au cours du temps. </w:t>
      </w:r>
    </w:p>
    <w:p w:rsidR="003A53F7" w:rsidRDefault="003A53F7">
      <w:pPr>
        <w:pStyle w:val="CorpsA"/>
        <w:suppressAutoHyphens/>
        <w:spacing w:after="0" w:line="480" w:lineRule="auto"/>
        <w:jc w:val="both"/>
        <w:rPr>
          <w:rStyle w:val="AucunA"/>
          <w:rFonts w:ascii="Times New Roman" w:eastAsia="Times New Roman" w:hAnsi="Times New Roman" w:cs="Times New Roman"/>
          <w:sz w:val="24"/>
          <w:szCs w:val="24"/>
        </w:rPr>
      </w:pPr>
    </w:p>
    <w:p w:rsidR="003A53F7" w:rsidRDefault="00670B5E">
      <w:pPr>
        <w:pStyle w:val="CorpsA"/>
        <w:numPr>
          <w:ilvl w:val="2"/>
          <w:numId w:val="2"/>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lastRenderedPageBreak/>
        <w:t>Aire de distribution</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Six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ont de très larges distributions guinéo-congolaises : </w:t>
      </w:r>
      <w:r>
        <w:rPr>
          <w:rStyle w:val="AucunA"/>
          <w:rFonts w:ascii="Times New Roman" w:hAnsi="Times New Roman"/>
          <w:i/>
          <w:iCs/>
          <w:sz w:val="24"/>
          <w:szCs w:val="24"/>
        </w:rPr>
        <w:t>E. angolense</w:t>
      </w:r>
      <w:r>
        <w:rPr>
          <w:rStyle w:val="AucunA"/>
          <w:rFonts w:ascii="Times New Roman" w:hAnsi="Times New Roman"/>
          <w:sz w:val="24"/>
          <w:szCs w:val="24"/>
        </w:rPr>
        <w:t xml:space="preserve">, </w:t>
      </w:r>
      <w:r>
        <w:rPr>
          <w:rStyle w:val="AucunA"/>
          <w:rFonts w:ascii="Times New Roman" w:hAnsi="Times New Roman"/>
          <w:i/>
          <w:iCs/>
          <w:sz w:val="24"/>
          <w:szCs w:val="24"/>
        </w:rPr>
        <w:t>E. candollei</w:t>
      </w:r>
      <w:r>
        <w:rPr>
          <w:rStyle w:val="AucunA"/>
          <w:rFonts w:ascii="Times New Roman" w:hAnsi="Times New Roman"/>
          <w:sz w:val="24"/>
          <w:szCs w:val="24"/>
        </w:rPr>
        <w:t xml:space="preserve">, </w:t>
      </w:r>
      <w:r>
        <w:rPr>
          <w:rStyle w:val="AucunA"/>
          <w:rFonts w:ascii="Times New Roman" w:hAnsi="Times New Roman"/>
          <w:i/>
          <w:iCs/>
          <w:sz w:val="24"/>
          <w:szCs w:val="24"/>
        </w:rPr>
        <w:t>E. congoense</w:t>
      </w:r>
      <w:r>
        <w:rPr>
          <w:rStyle w:val="AucunA"/>
          <w:rFonts w:ascii="Times New Roman" w:hAnsi="Times New Roman"/>
          <w:sz w:val="24"/>
          <w:szCs w:val="24"/>
        </w:rPr>
        <w:t xml:space="preserve">, </w:t>
      </w:r>
      <w:r>
        <w:rPr>
          <w:rStyle w:val="AucunA"/>
          <w:rFonts w:ascii="Times New Roman" w:hAnsi="Times New Roman"/>
          <w:i/>
          <w:iCs/>
          <w:sz w:val="24"/>
          <w:szCs w:val="24"/>
        </w:rPr>
        <w:t>E. cylindricum</w:t>
      </w:r>
      <w:r>
        <w:rPr>
          <w:rStyle w:val="AucunA"/>
          <w:rFonts w:ascii="Times New Roman" w:hAnsi="Times New Roman"/>
          <w:sz w:val="24"/>
          <w:szCs w:val="24"/>
        </w:rPr>
        <w:t xml:space="preserve">, </w:t>
      </w:r>
      <w:r>
        <w:rPr>
          <w:rStyle w:val="AucunA"/>
          <w:rFonts w:ascii="Times New Roman" w:hAnsi="Times New Roman"/>
          <w:i/>
          <w:iCs/>
          <w:sz w:val="24"/>
          <w:szCs w:val="24"/>
        </w:rPr>
        <w:t>E. palustre</w:t>
      </w:r>
      <w:r>
        <w:rPr>
          <w:rStyle w:val="AucunA"/>
          <w:rFonts w:ascii="Times New Roman" w:hAnsi="Times New Roman"/>
          <w:sz w:val="24"/>
          <w:szCs w:val="24"/>
        </w:rPr>
        <w:t xml:space="preserve"> et </w:t>
      </w:r>
      <w:r>
        <w:rPr>
          <w:rStyle w:val="AucunA"/>
          <w:rFonts w:ascii="Times New Roman" w:hAnsi="Times New Roman"/>
          <w:i/>
          <w:iCs/>
          <w:sz w:val="24"/>
          <w:szCs w:val="24"/>
        </w:rPr>
        <w:t xml:space="preserve">E. utile </w:t>
      </w:r>
      <w:r>
        <w:rPr>
          <w:rStyle w:val="AucunA"/>
          <w:rFonts w:ascii="Times New Roman" w:hAnsi="Times New Roman"/>
          <w:sz w:val="24"/>
          <w:szCs w:val="24"/>
        </w:rPr>
        <w:t>(Kasongo Yakusu</w:t>
      </w:r>
      <w:r>
        <w:rPr>
          <w:rStyle w:val="AucunA"/>
          <w:rFonts w:ascii="Times New Roman" w:hAnsi="Times New Roman"/>
          <w:i/>
          <w:iCs/>
          <w:sz w:val="24"/>
          <w:szCs w:val="24"/>
        </w:rPr>
        <w:t xml:space="preserve"> et al.</w:t>
      </w:r>
      <w:r>
        <w:rPr>
          <w:rStyle w:val="AucunA"/>
          <w:rFonts w:ascii="Times New Roman" w:hAnsi="Times New Roman"/>
          <w:sz w:val="24"/>
          <w:szCs w:val="24"/>
        </w:rPr>
        <w:t>,</w:t>
      </w:r>
      <w:r>
        <w:rPr>
          <w:rStyle w:val="AucunA"/>
          <w:rFonts w:ascii="Times New Roman" w:hAnsi="Times New Roman"/>
          <w:i/>
          <w:iCs/>
          <w:sz w:val="24"/>
          <w:szCs w:val="24"/>
        </w:rPr>
        <w:t xml:space="preserve"> </w:t>
      </w:r>
      <w:r>
        <w:rPr>
          <w:rStyle w:val="AucunA"/>
          <w:rFonts w:ascii="Times New Roman" w:hAnsi="Times New Roman"/>
          <w:sz w:val="24"/>
          <w:szCs w:val="24"/>
        </w:rPr>
        <w:t xml:space="preserve">2018). A l’exception de </w:t>
      </w:r>
      <w:r>
        <w:rPr>
          <w:rStyle w:val="AucunA"/>
          <w:rFonts w:ascii="Times New Roman" w:hAnsi="Times New Roman"/>
          <w:i/>
          <w:iCs/>
          <w:sz w:val="24"/>
          <w:szCs w:val="24"/>
        </w:rPr>
        <w:t>E. palustre</w:t>
      </w:r>
      <w:r>
        <w:rPr>
          <w:rStyle w:val="AucunA"/>
          <w:rFonts w:ascii="Times New Roman" w:hAnsi="Times New Roman"/>
          <w:sz w:val="24"/>
          <w:szCs w:val="24"/>
        </w:rPr>
        <w:t xml:space="preserve"> qui se cantonne aux forêts marécageuses, essentiellement en RDC et en RC (Lemmens, 2008), les cinq autres espèces croissent dans les forêts denses humides sempervirentes et semi-décidues (Meunier </w:t>
      </w:r>
      <w:r>
        <w:rPr>
          <w:rStyle w:val="AucunA"/>
          <w:rFonts w:ascii="Times New Roman" w:hAnsi="Times New Roman"/>
          <w:i/>
          <w:iCs/>
          <w:sz w:val="24"/>
          <w:szCs w:val="24"/>
        </w:rPr>
        <w:t>et al.</w:t>
      </w:r>
      <w:r>
        <w:rPr>
          <w:rStyle w:val="AucunA"/>
          <w:rFonts w:ascii="Times New Roman" w:hAnsi="Times New Roman"/>
          <w:sz w:val="24"/>
          <w:szCs w:val="24"/>
        </w:rPr>
        <w:t>, 2015 ; Kasongo Yakusu</w:t>
      </w:r>
      <w:r>
        <w:rPr>
          <w:rStyle w:val="AucunA"/>
          <w:rFonts w:ascii="Times New Roman" w:hAnsi="Times New Roman"/>
          <w:i/>
          <w:iCs/>
          <w:sz w:val="24"/>
          <w:szCs w:val="24"/>
        </w:rPr>
        <w:t xml:space="preserve"> et al.</w:t>
      </w:r>
      <w:r>
        <w:rPr>
          <w:rStyle w:val="AucunA"/>
          <w:rFonts w:ascii="Times New Roman" w:hAnsi="Times New Roman"/>
          <w:sz w:val="24"/>
          <w:szCs w:val="24"/>
        </w:rPr>
        <w:t>,</w:t>
      </w:r>
      <w:r>
        <w:rPr>
          <w:rStyle w:val="AucunA"/>
          <w:rFonts w:ascii="Times New Roman" w:hAnsi="Times New Roman"/>
          <w:i/>
          <w:iCs/>
          <w:sz w:val="24"/>
          <w:szCs w:val="24"/>
        </w:rPr>
        <w:t xml:space="preserve"> </w:t>
      </w:r>
      <w:r>
        <w:rPr>
          <w:rStyle w:val="AucunA"/>
          <w:rFonts w:ascii="Times New Roman" w:hAnsi="Times New Roman"/>
          <w:sz w:val="24"/>
          <w:szCs w:val="24"/>
        </w:rPr>
        <w:t xml:space="preserve">2018). La </w:t>
      </w:r>
      <w:r>
        <w:rPr>
          <w:rStyle w:val="AucunA"/>
          <w:rFonts w:ascii="Times New Roman" w:hAnsi="Times New Roman"/>
          <w:b/>
          <w:bCs/>
          <w:sz w:val="24"/>
          <w:szCs w:val="24"/>
        </w:rPr>
        <w:t>figure 1</w:t>
      </w:r>
      <w:r>
        <w:rPr>
          <w:rStyle w:val="AucunA"/>
          <w:rFonts w:ascii="Times New Roman" w:hAnsi="Times New Roman"/>
          <w:sz w:val="24"/>
          <w:szCs w:val="24"/>
        </w:rPr>
        <w:t xml:space="preserve"> présente la répartition géographique de ces espèces</w:t>
      </w:r>
      <w:r w:rsidR="00F004D5">
        <w:rPr>
          <w:rStyle w:val="AucunA"/>
          <w:rFonts w:ascii="Times New Roman" w:hAnsi="Times New Roman"/>
          <w:sz w:val="24"/>
          <w:szCs w:val="24"/>
        </w:rPr>
        <w:t>, adaptée d’après la base de données « Rainbio » (Dauby et al., 2016).</w:t>
      </w:r>
      <w:r w:rsidR="00DB20D4" w:rsidRPr="00DB20D4">
        <w:t xml:space="preserve"> </w:t>
      </w:r>
      <w:r w:rsidR="00DB20D4">
        <w:rPr>
          <w:rFonts w:ascii="Times New Roman" w:hAnsi="Times New Roman" w:cs="Times New Roman"/>
          <w:sz w:val="24"/>
          <w:szCs w:val="24"/>
        </w:rPr>
        <w:t xml:space="preserve">Elle confirme que </w:t>
      </w:r>
      <w:r w:rsidR="00DB20D4" w:rsidRPr="00F4414F">
        <w:rPr>
          <w:rFonts w:ascii="Times New Roman" w:hAnsi="Times New Roman" w:cs="Times New Roman"/>
          <w:i/>
          <w:iCs/>
          <w:sz w:val="24"/>
          <w:szCs w:val="24"/>
        </w:rPr>
        <w:t xml:space="preserve">E. cylindricum </w:t>
      </w:r>
      <w:r w:rsidR="00DB20D4" w:rsidRPr="00F4414F">
        <w:rPr>
          <w:rFonts w:ascii="Times New Roman" w:hAnsi="Times New Roman" w:cs="Times New Roman"/>
          <w:sz w:val="24"/>
          <w:szCs w:val="24"/>
        </w:rPr>
        <w:t xml:space="preserve">et </w:t>
      </w:r>
      <w:r w:rsidR="00DB20D4" w:rsidRPr="00F4414F">
        <w:rPr>
          <w:rFonts w:ascii="Times New Roman" w:hAnsi="Times New Roman" w:cs="Times New Roman"/>
          <w:i/>
          <w:iCs/>
          <w:sz w:val="24"/>
          <w:szCs w:val="24"/>
        </w:rPr>
        <w:t>E. angolense</w:t>
      </w:r>
      <w:r w:rsidR="00DB20D4">
        <w:rPr>
          <w:rFonts w:ascii="Times New Roman" w:hAnsi="Times New Roman" w:cs="Times New Roman"/>
          <w:iCs/>
          <w:sz w:val="24"/>
          <w:szCs w:val="24"/>
        </w:rPr>
        <w:t xml:space="preserve"> (</w:t>
      </w:r>
      <w:r w:rsidR="00DB20D4" w:rsidRPr="00F4414F">
        <w:rPr>
          <w:rFonts w:ascii="Times New Roman" w:hAnsi="Times New Roman" w:cs="Times New Roman"/>
          <w:sz w:val="24"/>
          <w:szCs w:val="24"/>
        </w:rPr>
        <w:t xml:space="preserve">présentant une distribution la plus étendue parmi ces </w:t>
      </w:r>
      <w:r w:rsidR="00DB20D4">
        <w:rPr>
          <w:rFonts w:ascii="Times New Roman" w:hAnsi="Times New Roman" w:cs="Times New Roman"/>
          <w:sz w:val="24"/>
          <w:szCs w:val="24"/>
        </w:rPr>
        <w:t xml:space="preserve">cinq </w:t>
      </w:r>
      <w:r w:rsidR="00DB20D4" w:rsidRPr="00F4414F">
        <w:rPr>
          <w:rFonts w:ascii="Times New Roman" w:hAnsi="Times New Roman" w:cs="Times New Roman"/>
          <w:sz w:val="24"/>
          <w:szCs w:val="24"/>
        </w:rPr>
        <w:t>espèces</w:t>
      </w:r>
      <w:r w:rsidR="00DB20D4">
        <w:rPr>
          <w:rFonts w:ascii="Times New Roman" w:hAnsi="Times New Roman" w:cs="Times New Roman"/>
          <w:sz w:val="24"/>
          <w:szCs w:val="24"/>
        </w:rPr>
        <w:t>)</w:t>
      </w:r>
      <w:r w:rsidR="00DB20D4">
        <w:t xml:space="preserve"> </w:t>
      </w:r>
      <w:r w:rsidR="00DB20D4" w:rsidRPr="00F4414F">
        <w:rPr>
          <w:rFonts w:ascii="Times New Roman" w:hAnsi="Times New Roman" w:cs="Times New Roman"/>
          <w:sz w:val="24"/>
          <w:szCs w:val="24"/>
        </w:rPr>
        <w:t>sont plus abondantes localement qu’</w:t>
      </w:r>
      <w:r w:rsidR="00DB20D4" w:rsidRPr="00F4414F">
        <w:rPr>
          <w:rFonts w:ascii="Times New Roman" w:hAnsi="Times New Roman" w:cs="Times New Roman"/>
          <w:i/>
          <w:iCs/>
          <w:sz w:val="24"/>
          <w:szCs w:val="24"/>
        </w:rPr>
        <w:t xml:space="preserve">E. candolei </w:t>
      </w:r>
      <w:r w:rsidR="00DB20D4" w:rsidRPr="00F4414F">
        <w:rPr>
          <w:rFonts w:ascii="Times New Roman" w:hAnsi="Times New Roman" w:cs="Times New Roman"/>
          <w:sz w:val="24"/>
          <w:szCs w:val="24"/>
        </w:rPr>
        <w:t xml:space="preserve">et </w:t>
      </w:r>
      <w:r w:rsidR="00DB20D4" w:rsidRPr="00F4414F">
        <w:rPr>
          <w:rFonts w:ascii="Times New Roman" w:hAnsi="Times New Roman" w:cs="Times New Roman"/>
          <w:i/>
          <w:iCs/>
          <w:sz w:val="24"/>
          <w:szCs w:val="24"/>
        </w:rPr>
        <w:t xml:space="preserve">E. utile </w:t>
      </w:r>
      <w:r w:rsidR="00DB20D4" w:rsidRPr="00F4414F">
        <w:rPr>
          <w:rFonts w:ascii="Times New Roman" w:hAnsi="Times New Roman" w:cs="Times New Roman"/>
          <w:sz w:val="24"/>
          <w:szCs w:val="24"/>
        </w:rPr>
        <w:t xml:space="preserve">(Doumenge et </w:t>
      </w:r>
      <w:r w:rsidR="00DB20D4" w:rsidRPr="00F4414F">
        <w:rPr>
          <w:rFonts w:ascii="Times New Roman" w:hAnsi="Times New Roman" w:cs="Times New Roman"/>
          <w:i/>
          <w:sz w:val="24"/>
          <w:szCs w:val="24"/>
        </w:rPr>
        <w:t>al.</w:t>
      </w:r>
      <w:r w:rsidR="00DB20D4" w:rsidRPr="00F4414F">
        <w:rPr>
          <w:rFonts w:ascii="Times New Roman" w:hAnsi="Times New Roman" w:cs="Times New Roman"/>
          <w:sz w:val="24"/>
          <w:szCs w:val="24"/>
        </w:rPr>
        <w:t>, 2010</w:t>
      </w:r>
      <w:r w:rsidR="00DB20D4">
        <w:rPr>
          <w:rFonts w:ascii="Times New Roman" w:hAnsi="Times New Roman" w:cs="Times New Roman"/>
          <w:sz w:val="24"/>
          <w:szCs w:val="24"/>
        </w:rPr>
        <w:t xml:space="preserve"> ; Kasongo Yakusu et </w:t>
      </w:r>
      <w:r w:rsidR="00DB20D4" w:rsidRPr="00F4414F">
        <w:rPr>
          <w:rFonts w:ascii="Times New Roman" w:hAnsi="Times New Roman" w:cs="Times New Roman"/>
          <w:i/>
          <w:sz w:val="24"/>
          <w:szCs w:val="24"/>
        </w:rPr>
        <w:t>al.</w:t>
      </w:r>
      <w:r w:rsidR="00DB20D4">
        <w:rPr>
          <w:rFonts w:ascii="Times New Roman" w:hAnsi="Times New Roman" w:cs="Times New Roman"/>
          <w:sz w:val="24"/>
          <w:szCs w:val="24"/>
        </w:rPr>
        <w:t>, 2018</w:t>
      </w:r>
      <w:r w:rsidR="00DB20D4" w:rsidRPr="00F4414F">
        <w:rPr>
          <w:rFonts w:ascii="Times New Roman" w:hAnsi="Times New Roman" w:cs="Times New Roman"/>
          <w:sz w:val="24"/>
          <w:szCs w:val="24"/>
        </w:rPr>
        <w:t>)</w:t>
      </w:r>
      <w:r w:rsidR="00DB20D4">
        <w:t xml:space="preserve">. </w:t>
      </w:r>
    </w:p>
    <w:p w:rsidR="003A53F7" w:rsidRDefault="00670B5E">
      <w:pPr>
        <w:pStyle w:val="CorpsA"/>
        <w:numPr>
          <w:ilvl w:val="2"/>
          <w:numId w:val="2"/>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Concentration de production en Afrique occidentale</w:t>
      </w:r>
      <w:r>
        <w:rPr>
          <w:rStyle w:val="AucunA"/>
          <w:rFonts w:ascii="Times New Roman" w:hAnsi="Times New Roman"/>
          <w:sz w:val="24"/>
          <w:szCs w:val="24"/>
        </w:rPr>
        <w:t xml:space="preserve">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Les statistiques (à partir des années 1960) de production du bois en grumes ou d’exportation par type de produit (e.g., grumes, sciages, placages déroulés et contreplaqués) et par espèce d’</w:t>
      </w:r>
      <w:r>
        <w:rPr>
          <w:rStyle w:val="AucunA"/>
          <w:rFonts w:ascii="Times New Roman" w:hAnsi="Times New Roman"/>
          <w:i/>
          <w:iCs/>
          <w:sz w:val="24"/>
          <w:szCs w:val="24"/>
        </w:rPr>
        <w:t>Entandrophragma</w:t>
      </w:r>
      <w:r>
        <w:rPr>
          <w:rStyle w:val="AucunA"/>
          <w:rFonts w:ascii="Times New Roman" w:hAnsi="Times New Roman"/>
          <w:sz w:val="24"/>
          <w:szCs w:val="24"/>
        </w:rPr>
        <w:t xml:space="preserve"> sont rarement disponibles et accessibles</w:t>
      </w:r>
      <w:r w:rsidR="00ED0751">
        <w:rPr>
          <w:rStyle w:val="AucunA"/>
          <w:rFonts w:ascii="Times New Roman" w:hAnsi="Times New Roman"/>
          <w:sz w:val="24"/>
          <w:szCs w:val="24"/>
        </w:rPr>
        <w:t>. Elles ne sont pas aussi régulières et continues de manière chronologique.</w:t>
      </w:r>
      <w:r>
        <w:rPr>
          <w:rStyle w:val="AucunA"/>
          <w:rFonts w:ascii="Times New Roman" w:hAnsi="Times New Roman"/>
          <w:sz w:val="24"/>
          <w:szCs w:val="24"/>
        </w:rPr>
        <w:t xml:space="preserve"> </w:t>
      </w:r>
      <w:r>
        <w:rPr>
          <w:rStyle w:val="AucunA"/>
          <w:rFonts w:ascii="Times New Roman" w:hAnsi="Times New Roman"/>
          <w:sz w:val="24"/>
          <w:szCs w:val="24"/>
          <w:u w:color="99403D"/>
        </w:rPr>
        <w:t>Les données publiées dans la revue Bois et Forêts des Tropiques à la rubrique « Commerce des bois tropicaux » entre 1963 et 1974</w:t>
      </w:r>
      <w:r>
        <w:rPr>
          <w:rStyle w:val="AucunA"/>
          <w:rFonts w:ascii="Times New Roman" w:hAnsi="Times New Roman"/>
          <w:color w:val="99403D"/>
          <w:sz w:val="24"/>
          <w:szCs w:val="24"/>
          <w:u w:color="99403D"/>
        </w:rPr>
        <w:t xml:space="preserve"> </w:t>
      </w:r>
      <w:r>
        <w:rPr>
          <w:rStyle w:val="AucunA"/>
          <w:rFonts w:ascii="Times New Roman" w:hAnsi="Times New Roman"/>
          <w:sz w:val="24"/>
          <w:szCs w:val="24"/>
        </w:rPr>
        <w:t>permettent de retracer l’évolution des exportations de grumes d’</w:t>
      </w:r>
      <w:r>
        <w:rPr>
          <w:rStyle w:val="AucunA"/>
          <w:rFonts w:ascii="Times New Roman" w:hAnsi="Times New Roman"/>
          <w:i/>
          <w:iCs/>
          <w:sz w:val="24"/>
          <w:szCs w:val="24"/>
        </w:rPr>
        <w:t>Entandrophragma</w:t>
      </w:r>
      <w:r>
        <w:rPr>
          <w:rStyle w:val="AucunA"/>
          <w:rFonts w:ascii="Times New Roman" w:hAnsi="Times New Roman"/>
          <w:sz w:val="24"/>
          <w:szCs w:val="24"/>
        </w:rPr>
        <w:t xml:space="preserve"> de 1963-1973 pour la Côte d’Ivoire, le Cameroun et le Gabon. Les statistiques de l’ATIBT, fragmentaires, permettent de compléter les chiffres pour le Gabon pour la période 1998-2003. Pendant la période 1963-1973, d’importantes quantités de grumes d’</w:t>
      </w:r>
      <w:r>
        <w:rPr>
          <w:rStyle w:val="AucunA"/>
          <w:rFonts w:ascii="Times New Roman" w:hAnsi="Times New Roman"/>
          <w:i/>
          <w:iCs/>
          <w:sz w:val="24"/>
          <w:szCs w:val="24"/>
        </w:rPr>
        <w:t>Entandrophragma</w:t>
      </w:r>
      <w:r>
        <w:rPr>
          <w:rStyle w:val="AucunA"/>
          <w:rFonts w:ascii="Times New Roman" w:hAnsi="Times New Roman"/>
          <w:sz w:val="24"/>
          <w:szCs w:val="24"/>
        </w:rPr>
        <w:t> ont été exportées : la Côte d’Ivoire a exporté ± 6 millions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sipo, ± 1,5 million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sapelli et ± 1,5 million m</w:t>
      </w:r>
      <w:r>
        <w:rPr>
          <w:rStyle w:val="AucunA"/>
          <w:rFonts w:ascii="Times New Roman" w:hAnsi="Times New Roman"/>
          <w:sz w:val="24"/>
          <w:szCs w:val="24"/>
          <w:vertAlign w:val="superscript"/>
        </w:rPr>
        <w:t xml:space="preserve">3 </w:t>
      </w:r>
      <w:r>
        <w:rPr>
          <w:rStyle w:val="AucunA"/>
          <w:rFonts w:ascii="Times New Roman" w:hAnsi="Times New Roman"/>
          <w:sz w:val="24"/>
          <w:szCs w:val="24"/>
        </w:rPr>
        <w:t>de tiama blanc ; le Cameroun ± 350 000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sapelli, ± 150 000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sipo et ± 40 000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kosipo ; le Congo ± 200 000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sipo, ± 150 000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sapelli et ± 75 000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tiama et le Gabon ± 25 000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sipo, ± 15 000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tiama blanc et ± 7 000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de </w:t>
      </w:r>
      <w:r>
        <w:rPr>
          <w:rStyle w:val="AucunA"/>
          <w:rFonts w:ascii="Times New Roman" w:hAnsi="Times New Roman"/>
          <w:sz w:val="24"/>
          <w:szCs w:val="24"/>
        </w:rPr>
        <w:lastRenderedPageBreak/>
        <w:t xml:space="preserve">sapelli. La </w:t>
      </w:r>
      <w:r>
        <w:rPr>
          <w:rStyle w:val="AucunA"/>
          <w:rFonts w:ascii="Times New Roman" w:hAnsi="Times New Roman"/>
          <w:b/>
          <w:bCs/>
          <w:sz w:val="24"/>
          <w:szCs w:val="24"/>
        </w:rPr>
        <w:t>figure 2</w:t>
      </w:r>
      <w:r>
        <w:rPr>
          <w:rStyle w:val="AucunA"/>
          <w:rFonts w:ascii="Times New Roman" w:hAnsi="Times New Roman"/>
          <w:sz w:val="24"/>
          <w:szCs w:val="24"/>
        </w:rPr>
        <w:t xml:space="preserve"> présente les évolutions annuelles de ces exportations. Pour la période 1996-2013, seules les statistiques du Gabon sont disponibles : ce pays a exporté ± 200 000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d’</w:t>
      </w:r>
      <w:r>
        <w:rPr>
          <w:rStyle w:val="AucunA"/>
          <w:rFonts w:ascii="Times New Roman" w:hAnsi="Times New Roman"/>
          <w:i/>
          <w:iCs/>
          <w:sz w:val="24"/>
          <w:szCs w:val="24"/>
        </w:rPr>
        <w:t xml:space="preserve">Entandrophragma.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La Côte d’Ivoire est le pays qui a le plus exploité les espèces commerciales d’</w:t>
      </w:r>
      <w:r>
        <w:rPr>
          <w:rStyle w:val="AucunA"/>
          <w:rFonts w:ascii="Times New Roman" w:hAnsi="Times New Roman"/>
          <w:i/>
          <w:iCs/>
          <w:sz w:val="24"/>
          <w:szCs w:val="24"/>
        </w:rPr>
        <w:t>Entandrophragma</w:t>
      </w:r>
      <w:r>
        <w:rPr>
          <w:rStyle w:val="AucunA"/>
          <w:rFonts w:ascii="Times New Roman" w:hAnsi="Times New Roman"/>
        </w:rPr>
        <w:t xml:space="preserve"> (ca.</w:t>
      </w:r>
      <w:r>
        <w:rPr>
          <w:rStyle w:val="AucunA"/>
          <w:rFonts w:ascii="Times New Roman" w:hAnsi="Times New Roman"/>
          <w:sz w:val="24"/>
          <w:szCs w:val="24"/>
        </w:rPr>
        <w:t>10 millions de mètres cubes grumes exploités entre 1963 et 1973). Cette forte exploitation associée à l’extension des terres agricoles au détriment des forêts y a fortement réduit la ressource. Dès le milieu des années 1970, les exportations ont commencé à baisser (</w:t>
      </w:r>
      <w:r>
        <w:rPr>
          <w:rStyle w:val="AucunA"/>
          <w:rFonts w:ascii="Times New Roman" w:hAnsi="Times New Roman"/>
          <w:b/>
          <w:bCs/>
          <w:sz w:val="24"/>
          <w:szCs w:val="24"/>
        </w:rPr>
        <w:t>Figure 2</w:t>
      </w:r>
      <w:r>
        <w:rPr>
          <w:rStyle w:val="AucunA"/>
          <w:rFonts w:ascii="Times New Roman" w:hAnsi="Times New Roman"/>
          <w:sz w:val="24"/>
          <w:szCs w:val="24"/>
        </w:rPr>
        <w:t xml:space="preserve">). Cet appauvrissement de la ressource se concrétise dans les années 2000. Les statistiques d’entrées de grumes en usine ne font alors plus référence qu’au seul </w:t>
      </w:r>
      <w:r>
        <w:rPr>
          <w:rStyle w:val="AucunA"/>
          <w:rFonts w:ascii="Times New Roman" w:hAnsi="Times New Roman"/>
          <w:i/>
          <w:iCs/>
          <w:sz w:val="24"/>
          <w:szCs w:val="24"/>
        </w:rPr>
        <w:t>E. angolense</w:t>
      </w:r>
      <w:r>
        <w:rPr>
          <w:rStyle w:val="AucunA"/>
          <w:rFonts w:ascii="Times New Roman" w:hAnsi="Times New Roman"/>
          <w:sz w:val="24"/>
          <w:szCs w:val="24"/>
        </w:rPr>
        <w:t xml:space="preserve"> avec 41 700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grumes en 2004 et 10 400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en 2012 (Louppe et Ouattara, 2013), les autres espèces du genre n’étant plus exploitées qu’en faibles quantités.</w:t>
      </w:r>
    </w:p>
    <w:p w:rsidR="003A53F7" w:rsidRDefault="00670B5E">
      <w:pPr>
        <w:pStyle w:val="CorpsA"/>
        <w:numPr>
          <w:ilvl w:val="2"/>
          <w:numId w:val="2"/>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Afrique centrale, nouveau pool de production</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Actuellement, l’exploitation de ces espèces s’est déplacée vers d’autres régions. Le tableau IV présente cette évolution entre 2005 et 2012 pendant laquelle la production contrôlée de grumes des </w:t>
      </w:r>
      <w:r>
        <w:rPr>
          <w:rStyle w:val="AucunA"/>
          <w:rFonts w:ascii="Times New Roman" w:hAnsi="Times New Roman"/>
          <w:i/>
          <w:iCs/>
          <w:sz w:val="24"/>
          <w:szCs w:val="24"/>
        </w:rPr>
        <w:t>Entandrophragma</w:t>
      </w:r>
      <w:r>
        <w:rPr>
          <w:rStyle w:val="AucunA"/>
          <w:rFonts w:ascii="Times New Roman" w:hAnsi="Times New Roman"/>
          <w:sz w:val="24"/>
          <w:szCs w:val="24"/>
        </w:rPr>
        <w:t xml:space="preserve"> en Afrique centrale est la suivante : </w:t>
      </w:r>
    </w:p>
    <w:p w:rsidR="003A53F7" w:rsidRDefault="00670B5E">
      <w:pPr>
        <w:pStyle w:val="CorpsA"/>
        <w:numPr>
          <w:ilvl w:val="0"/>
          <w:numId w:val="6"/>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sapelli : Congo ± 3,5 millions m</w:t>
      </w:r>
      <w:r>
        <w:rPr>
          <w:rStyle w:val="AucunA"/>
          <w:rFonts w:ascii="Times New Roman" w:hAnsi="Times New Roman"/>
          <w:sz w:val="24"/>
          <w:szCs w:val="24"/>
          <w:vertAlign w:val="superscript"/>
        </w:rPr>
        <w:t>3</w:t>
      </w:r>
      <w:r>
        <w:rPr>
          <w:rStyle w:val="AucunA"/>
          <w:rFonts w:ascii="Times New Roman" w:hAnsi="Times New Roman"/>
          <w:sz w:val="24"/>
          <w:szCs w:val="24"/>
        </w:rPr>
        <w:t>, Cameroun : ± 3 millions</w:t>
      </w:r>
      <w:r>
        <w:rPr>
          <w:rStyle w:val="AucunA"/>
          <w:sz w:val="24"/>
          <w:szCs w:val="24"/>
        </w:rPr>
        <w:t xml:space="preserve"> </w:t>
      </w:r>
      <w:r>
        <w:rPr>
          <w:rStyle w:val="AucunA"/>
          <w:rFonts w:ascii="Times New Roman" w:hAnsi="Times New Roman"/>
          <w:sz w:val="24"/>
          <w:szCs w:val="24"/>
        </w:rPr>
        <w:t>m</w:t>
      </w:r>
      <w:r>
        <w:rPr>
          <w:rStyle w:val="AucunA"/>
          <w:rFonts w:ascii="Times New Roman" w:hAnsi="Times New Roman"/>
          <w:sz w:val="24"/>
          <w:szCs w:val="24"/>
          <w:vertAlign w:val="superscript"/>
        </w:rPr>
        <w:t>3</w:t>
      </w:r>
      <w:r>
        <w:rPr>
          <w:rStyle w:val="AucunA"/>
          <w:rFonts w:ascii="Times New Roman" w:hAnsi="Times New Roman"/>
          <w:sz w:val="24"/>
          <w:szCs w:val="24"/>
        </w:rPr>
        <w:t>, RCA, ± 2 millions m</w:t>
      </w:r>
      <w:r>
        <w:rPr>
          <w:rStyle w:val="AucunA"/>
          <w:rFonts w:ascii="Times New Roman" w:hAnsi="Times New Roman"/>
          <w:sz w:val="24"/>
          <w:szCs w:val="24"/>
          <w:vertAlign w:val="superscript"/>
        </w:rPr>
        <w:t>3</w:t>
      </w:r>
      <w:r>
        <w:rPr>
          <w:rStyle w:val="AucunA"/>
          <w:rFonts w:ascii="Times New Roman" w:hAnsi="Times New Roman"/>
          <w:sz w:val="24"/>
          <w:szCs w:val="24"/>
        </w:rPr>
        <w:t> et RDC, ± 500 000</w:t>
      </w:r>
      <w:r>
        <w:rPr>
          <w:rStyle w:val="AucunA"/>
          <w:sz w:val="24"/>
          <w:szCs w:val="24"/>
        </w:rPr>
        <w:t xml:space="preserve"> </w:t>
      </w:r>
      <w:r>
        <w:rPr>
          <w:rStyle w:val="AucunA"/>
          <w:rFonts w:ascii="Times New Roman" w:hAnsi="Times New Roman"/>
          <w:sz w:val="24"/>
          <w:szCs w:val="24"/>
        </w:rPr>
        <w:t>m</w:t>
      </w:r>
      <w:r>
        <w:rPr>
          <w:rStyle w:val="AucunA"/>
          <w:rFonts w:ascii="Times New Roman" w:hAnsi="Times New Roman"/>
          <w:sz w:val="24"/>
          <w:szCs w:val="24"/>
          <w:vertAlign w:val="superscript"/>
        </w:rPr>
        <w:t>3</w:t>
      </w:r>
      <w:r>
        <w:rPr>
          <w:rStyle w:val="AucunA"/>
          <w:rFonts w:ascii="Times New Roman" w:hAnsi="Times New Roman"/>
          <w:sz w:val="24"/>
          <w:szCs w:val="24"/>
        </w:rPr>
        <w:t xml:space="preserve"> ; </w:t>
      </w:r>
    </w:p>
    <w:p w:rsidR="003A53F7" w:rsidRDefault="00670B5E">
      <w:pPr>
        <w:pStyle w:val="CorpsA"/>
        <w:numPr>
          <w:ilvl w:val="0"/>
          <w:numId w:val="6"/>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sipo : Congo ± 550 000</w:t>
      </w:r>
      <w:r>
        <w:rPr>
          <w:rStyle w:val="AucunA"/>
          <w:sz w:val="24"/>
          <w:szCs w:val="24"/>
        </w:rPr>
        <w:t xml:space="preserve"> </w:t>
      </w:r>
      <w:r>
        <w:rPr>
          <w:rStyle w:val="AucunA"/>
          <w:rFonts w:ascii="Times New Roman" w:hAnsi="Times New Roman"/>
          <w:sz w:val="24"/>
          <w:szCs w:val="24"/>
        </w:rPr>
        <w:t>m</w:t>
      </w:r>
      <w:r>
        <w:rPr>
          <w:rStyle w:val="AucunA"/>
          <w:rFonts w:ascii="Times New Roman" w:hAnsi="Times New Roman"/>
          <w:sz w:val="24"/>
          <w:szCs w:val="24"/>
          <w:vertAlign w:val="superscript"/>
        </w:rPr>
        <w:t>3</w:t>
      </w:r>
      <w:r>
        <w:rPr>
          <w:rStyle w:val="AucunA"/>
          <w:rFonts w:ascii="Times New Roman" w:hAnsi="Times New Roman"/>
          <w:sz w:val="24"/>
          <w:szCs w:val="24"/>
        </w:rPr>
        <w:t>, RDC ± 200 000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et RCA ± 150 000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 </w:t>
      </w:r>
    </w:p>
    <w:p w:rsidR="003A53F7" w:rsidRDefault="00670B5E">
      <w:pPr>
        <w:pStyle w:val="CorpsA"/>
        <w:numPr>
          <w:ilvl w:val="0"/>
          <w:numId w:val="6"/>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kosipo :</w:t>
      </w:r>
      <w:r>
        <w:rPr>
          <w:rStyle w:val="AucunA"/>
          <w:sz w:val="24"/>
          <w:szCs w:val="24"/>
        </w:rPr>
        <w:t xml:space="preserve"> </w:t>
      </w:r>
      <w:r>
        <w:rPr>
          <w:rStyle w:val="AucunA"/>
          <w:rFonts w:ascii="Times New Roman" w:hAnsi="Times New Roman"/>
          <w:sz w:val="24"/>
          <w:szCs w:val="24"/>
        </w:rPr>
        <w:t>Cameroun ± 300 000 m</w:t>
      </w:r>
      <w:r>
        <w:rPr>
          <w:rStyle w:val="AucunA"/>
          <w:rFonts w:ascii="Times New Roman" w:hAnsi="Times New Roman"/>
          <w:sz w:val="24"/>
          <w:szCs w:val="24"/>
          <w:vertAlign w:val="superscript"/>
        </w:rPr>
        <w:t>3</w:t>
      </w:r>
      <w:r>
        <w:rPr>
          <w:rStyle w:val="AucunA"/>
          <w:rFonts w:ascii="Times New Roman" w:hAnsi="Times New Roman"/>
          <w:sz w:val="24"/>
          <w:szCs w:val="24"/>
        </w:rPr>
        <w:t>,</w:t>
      </w:r>
      <w:r>
        <w:rPr>
          <w:rStyle w:val="AucunA"/>
          <w:sz w:val="24"/>
          <w:szCs w:val="24"/>
        </w:rPr>
        <w:t xml:space="preserve">  </w:t>
      </w:r>
      <w:r>
        <w:rPr>
          <w:rStyle w:val="AucunA"/>
          <w:rFonts w:ascii="Times New Roman" w:hAnsi="Times New Roman"/>
          <w:sz w:val="24"/>
          <w:szCs w:val="24"/>
        </w:rPr>
        <w:t>RCA ± 150 000 m</w:t>
      </w:r>
      <w:r>
        <w:rPr>
          <w:rStyle w:val="AucunA"/>
          <w:rFonts w:ascii="Times New Roman" w:hAnsi="Times New Roman"/>
          <w:sz w:val="24"/>
          <w:szCs w:val="24"/>
          <w:vertAlign w:val="superscript"/>
        </w:rPr>
        <w:t>3</w:t>
      </w:r>
      <w:r>
        <w:rPr>
          <w:rStyle w:val="AucunA"/>
          <w:rFonts w:ascii="Times New Roman" w:hAnsi="Times New Roman"/>
          <w:sz w:val="24"/>
          <w:szCs w:val="24"/>
        </w:rPr>
        <w:t>, Congo ± 75 000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et RDC ± 50 000 m</w:t>
      </w:r>
      <w:r>
        <w:rPr>
          <w:rStyle w:val="AucunA"/>
          <w:rFonts w:ascii="Times New Roman" w:hAnsi="Times New Roman"/>
          <w:sz w:val="24"/>
          <w:szCs w:val="24"/>
          <w:vertAlign w:val="superscript"/>
        </w:rPr>
        <w:t xml:space="preserve">3 </w:t>
      </w:r>
      <w:r>
        <w:rPr>
          <w:rStyle w:val="AucunA"/>
          <w:rFonts w:ascii="Times New Roman" w:hAnsi="Times New Roman"/>
          <w:sz w:val="24"/>
          <w:szCs w:val="24"/>
        </w:rPr>
        <w:t xml:space="preserve">; et </w:t>
      </w:r>
    </w:p>
    <w:p w:rsidR="003A53F7" w:rsidRDefault="00670B5E">
      <w:pPr>
        <w:pStyle w:val="CorpsA"/>
        <w:numPr>
          <w:ilvl w:val="0"/>
          <w:numId w:val="7"/>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tiama blanc : RCA ± 100 000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RDC ± 100 000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rPr>
        <w:t>Au d</w:t>
      </w:r>
      <w:r>
        <w:rPr>
          <w:rStyle w:val="AucunA"/>
          <w:rFonts w:ascii="Times New Roman" w:hAnsi="Times New Roman"/>
          <w:sz w:val="24"/>
          <w:szCs w:val="24"/>
        </w:rPr>
        <w:t>ébut des années 2010, le Congo et le Cameroun sont les principaux producteurs de bois d’</w:t>
      </w:r>
      <w:r>
        <w:rPr>
          <w:rStyle w:val="AucunA"/>
          <w:rFonts w:ascii="Times New Roman" w:hAnsi="Times New Roman"/>
          <w:i/>
          <w:iCs/>
          <w:sz w:val="24"/>
          <w:szCs w:val="24"/>
        </w:rPr>
        <w:t>Entandrophragma</w:t>
      </w:r>
      <w:r>
        <w:rPr>
          <w:rStyle w:val="AucunA"/>
          <w:rFonts w:ascii="Times New Roman" w:hAnsi="Times New Roman"/>
          <w:sz w:val="24"/>
          <w:szCs w:val="24"/>
        </w:rPr>
        <w:t xml:space="preserve"> (Bayol </w:t>
      </w:r>
      <w:r>
        <w:rPr>
          <w:rStyle w:val="AucunA"/>
          <w:rFonts w:ascii="Times New Roman" w:hAnsi="Times New Roman"/>
          <w:i/>
          <w:iCs/>
          <w:sz w:val="24"/>
          <w:szCs w:val="24"/>
        </w:rPr>
        <w:t>et al.</w:t>
      </w:r>
      <w:r>
        <w:rPr>
          <w:rStyle w:val="AucunA"/>
          <w:rFonts w:ascii="Times New Roman" w:hAnsi="Times New Roman"/>
          <w:sz w:val="24"/>
          <w:szCs w:val="24"/>
        </w:rPr>
        <w:t xml:space="preserve">, 2012). L’historique du commerce du sapelli illustre très bien l’ampleur de l’exploitation des espèces du genre. En Afrique de l’ouest, l’exploitation a fortement réduit les populations de sapelli si bien que son exploitation s’est déplacée vers </w:t>
      </w:r>
      <w:r>
        <w:rPr>
          <w:rStyle w:val="AucunA"/>
          <w:rFonts w:ascii="Times New Roman" w:hAnsi="Times New Roman"/>
          <w:sz w:val="24"/>
          <w:szCs w:val="24"/>
        </w:rPr>
        <w:lastRenderedPageBreak/>
        <w:t xml:space="preserve">l’Afrique centrale, principal pôle de production actuel (Eckebil et </w:t>
      </w:r>
      <w:r>
        <w:rPr>
          <w:rStyle w:val="AucunA"/>
          <w:rFonts w:ascii="Times New Roman" w:hAnsi="Times New Roman"/>
          <w:i/>
          <w:iCs/>
          <w:sz w:val="24"/>
          <w:szCs w:val="24"/>
        </w:rPr>
        <w:t>al.</w:t>
      </w:r>
      <w:r>
        <w:rPr>
          <w:rStyle w:val="AucunA"/>
          <w:rFonts w:ascii="Times New Roman" w:hAnsi="Times New Roman"/>
          <w:sz w:val="24"/>
          <w:szCs w:val="24"/>
        </w:rPr>
        <w:t>, 2017) où il est de loin l’espèce d’acajou la plus exploitée avec ± 1,3 millions de m</w:t>
      </w:r>
      <w:r>
        <w:rPr>
          <w:rStyle w:val="AucunA"/>
          <w:rFonts w:ascii="Times New Roman" w:hAnsi="Times New Roman"/>
          <w:sz w:val="24"/>
          <w:szCs w:val="24"/>
          <w:vertAlign w:val="superscript"/>
        </w:rPr>
        <w:t>3</w:t>
      </w:r>
      <w:r>
        <w:rPr>
          <w:rStyle w:val="AucunA"/>
          <w:rFonts w:ascii="Times New Roman" w:hAnsi="Times New Roman"/>
          <w:sz w:val="24"/>
          <w:szCs w:val="24"/>
        </w:rPr>
        <w:t xml:space="preserve"> en 2008 (Bayol </w:t>
      </w:r>
      <w:r>
        <w:rPr>
          <w:rStyle w:val="AucunA"/>
          <w:rFonts w:ascii="Times New Roman" w:hAnsi="Times New Roman"/>
          <w:i/>
          <w:iCs/>
          <w:sz w:val="24"/>
          <w:szCs w:val="24"/>
        </w:rPr>
        <w:t>et al.</w:t>
      </w:r>
      <w:r>
        <w:rPr>
          <w:rStyle w:val="AucunA"/>
          <w:rFonts w:ascii="Times New Roman" w:hAnsi="Times New Roman"/>
          <w:sz w:val="24"/>
          <w:szCs w:val="24"/>
        </w:rPr>
        <w:t>, 2012). En comparaison, l’exploitation du sipo et du kosipo est faible avec, en 2008, ± 130 000 et ± 100 000 m</w:t>
      </w:r>
      <w:r>
        <w:rPr>
          <w:rStyle w:val="AucunA"/>
          <w:rFonts w:ascii="Times New Roman" w:hAnsi="Times New Roman"/>
          <w:sz w:val="24"/>
          <w:szCs w:val="24"/>
          <w:vertAlign w:val="superscript"/>
        </w:rPr>
        <w:t xml:space="preserve">3 </w:t>
      </w:r>
      <w:r>
        <w:rPr>
          <w:rStyle w:val="AucunA"/>
          <w:rFonts w:ascii="Times New Roman" w:hAnsi="Times New Roman"/>
          <w:sz w:val="24"/>
          <w:szCs w:val="24"/>
        </w:rPr>
        <w:t>respectivement (</w:t>
      </w:r>
      <w:r>
        <w:rPr>
          <w:rStyle w:val="AucunA"/>
          <w:rFonts w:ascii="Times New Roman" w:hAnsi="Times New Roman"/>
          <w:b/>
          <w:bCs/>
          <w:sz w:val="24"/>
          <w:szCs w:val="24"/>
        </w:rPr>
        <w:t>Figure 3</w:t>
      </w:r>
      <w:r>
        <w:rPr>
          <w:rStyle w:val="AucunA"/>
          <w:rFonts w:ascii="Times New Roman" w:hAnsi="Times New Roman"/>
          <w:sz w:val="24"/>
          <w:szCs w:val="24"/>
        </w:rPr>
        <w:t>). En Afrique centrale, en 2008, seul l’okoumé (</w:t>
      </w:r>
      <w:r>
        <w:rPr>
          <w:rStyle w:val="AucunA"/>
          <w:rFonts w:ascii="Times New Roman" w:hAnsi="Times New Roman"/>
          <w:i/>
          <w:iCs/>
          <w:sz w:val="24"/>
          <w:szCs w:val="24"/>
        </w:rPr>
        <w:t xml:space="preserve">Aucoumea klaineana) </w:t>
      </w:r>
      <w:r>
        <w:rPr>
          <w:rStyle w:val="AucunA"/>
          <w:rFonts w:ascii="Times New Roman" w:hAnsi="Times New Roman"/>
          <w:sz w:val="24"/>
          <w:szCs w:val="24"/>
        </w:rPr>
        <w:t xml:space="preserve">était plus exploité que le sapelli. Les faibles volumes exploités de sipo s’expliquent par sa forte dissémination dans le massif forestier. Sa rareté a ainsi conduit certains aménagistes à l’exclure des principales essences à exploiter (Bayol </w:t>
      </w:r>
      <w:r>
        <w:rPr>
          <w:rStyle w:val="AucunA"/>
          <w:rFonts w:ascii="Times New Roman" w:hAnsi="Times New Roman"/>
          <w:i/>
          <w:iCs/>
          <w:sz w:val="24"/>
          <w:szCs w:val="24"/>
        </w:rPr>
        <w:t>et al.</w:t>
      </w:r>
      <w:r>
        <w:rPr>
          <w:rStyle w:val="AucunA"/>
          <w:rFonts w:ascii="Times New Roman" w:hAnsi="Times New Roman"/>
          <w:sz w:val="24"/>
          <w:szCs w:val="24"/>
        </w:rPr>
        <w:t xml:space="preserve">, 2012). </w:t>
      </w:r>
    </w:p>
    <w:p w:rsidR="003A53F7" w:rsidRDefault="00670B5E">
      <w:pPr>
        <w:pStyle w:val="CorpsA"/>
        <w:numPr>
          <w:ilvl w:val="1"/>
          <w:numId w:val="8"/>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Valeur sociale</w:t>
      </w:r>
    </w:p>
    <w:p w:rsidR="003A53F7" w:rsidRDefault="00670B5E">
      <w:pPr>
        <w:pStyle w:val="CorpsA"/>
        <w:numPr>
          <w:ilvl w:val="2"/>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Multiplicité des usages sociaux</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Les </w:t>
      </w:r>
      <w:r>
        <w:rPr>
          <w:rStyle w:val="AucunA"/>
          <w:rFonts w:ascii="Times New Roman" w:hAnsi="Times New Roman"/>
          <w:i/>
          <w:iCs/>
          <w:sz w:val="24"/>
          <w:szCs w:val="24"/>
        </w:rPr>
        <w:t>Entandrophragma</w:t>
      </w:r>
      <w:r>
        <w:rPr>
          <w:rStyle w:val="AucunA"/>
          <w:rFonts w:ascii="Times New Roman" w:hAnsi="Times New Roman"/>
          <w:sz w:val="24"/>
          <w:szCs w:val="24"/>
        </w:rPr>
        <w:t xml:space="preserve"> présentent des usages multiples bien connus des populations locales</w:t>
      </w:r>
      <w:r>
        <w:rPr>
          <w:rStyle w:val="AucunA"/>
          <w:rFonts w:ascii="Times New Roman" w:hAnsi="Times New Roman"/>
          <w:b/>
          <w:bCs/>
          <w:sz w:val="24"/>
          <w:szCs w:val="24"/>
        </w:rPr>
        <w:t xml:space="preserve"> </w:t>
      </w:r>
      <w:r>
        <w:rPr>
          <w:rStyle w:val="AucunA"/>
          <w:rFonts w:ascii="Times New Roman" w:hAnsi="Times New Roman"/>
          <w:sz w:val="24"/>
          <w:szCs w:val="24"/>
        </w:rPr>
        <w:t>(tableau VI). Celles-ci se servent du bois, de l’écorce et des feuilles en vue de satisfaire leurs besoins en aliments (e.g., la collecte des chenilles), pharmacopée, économie de substance ou pour le transport fluvial (fabrication des pirogues), etc. L’écorce de toutes ces espèces est utilisée comme médicaments contre plusieurs maladies. Les racines d’</w:t>
      </w:r>
      <w:r>
        <w:rPr>
          <w:rStyle w:val="AucunA"/>
          <w:rFonts w:ascii="Times New Roman" w:hAnsi="Times New Roman"/>
          <w:i/>
          <w:iCs/>
          <w:sz w:val="24"/>
          <w:szCs w:val="24"/>
        </w:rPr>
        <w:t xml:space="preserve">E. candollei </w:t>
      </w:r>
      <w:r>
        <w:rPr>
          <w:rStyle w:val="AucunA"/>
          <w:rFonts w:ascii="Times New Roman" w:hAnsi="Times New Roman"/>
          <w:sz w:val="24"/>
          <w:szCs w:val="24"/>
        </w:rPr>
        <w:t>sont utilisées comme anti-venin contre les morsures de serpents. Les graines d’</w:t>
      </w:r>
      <w:r>
        <w:rPr>
          <w:rStyle w:val="AucunA"/>
          <w:rFonts w:ascii="Times New Roman" w:hAnsi="Times New Roman"/>
          <w:i/>
          <w:iCs/>
          <w:sz w:val="24"/>
          <w:szCs w:val="24"/>
        </w:rPr>
        <w:t>Entandrophragma</w:t>
      </w:r>
      <w:r>
        <w:rPr>
          <w:rStyle w:val="AucunA"/>
          <w:rFonts w:ascii="Times New Roman" w:hAnsi="Times New Roman"/>
          <w:sz w:val="24"/>
          <w:szCs w:val="24"/>
        </w:rPr>
        <w:t xml:space="preserve"> (e.g., </w:t>
      </w:r>
      <w:r>
        <w:rPr>
          <w:rStyle w:val="AucunA"/>
          <w:rFonts w:ascii="Times New Roman" w:hAnsi="Times New Roman"/>
          <w:i/>
          <w:iCs/>
          <w:sz w:val="24"/>
          <w:szCs w:val="24"/>
        </w:rPr>
        <w:t>E. angolense</w:t>
      </w:r>
      <w:r>
        <w:rPr>
          <w:rStyle w:val="AucunA"/>
          <w:rFonts w:ascii="Times New Roman" w:hAnsi="Times New Roman"/>
          <w:sz w:val="24"/>
          <w:szCs w:val="24"/>
        </w:rPr>
        <w:t xml:space="preserve">) sont riches en huiles qui mériteraient des études détaillées sur leurs propriétés, notamment leur toxicité (Lemmens </w:t>
      </w:r>
      <w:r>
        <w:rPr>
          <w:rStyle w:val="AucunA"/>
          <w:rFonts w:ascii="Times New Roman" w:hAnsi="Times New Roman"/>
          <w:i/>
          <w:iCs/>
          <w:sz w:val="24"/>
          <w:szCs w:val="24"/>
        </w:rPr>
        <w:t>et al.</w:t>
      </w:r>
      <w:r>
        <w:rPr>
          <w:rStyle w:val="AucunA"/>
          <w:rFonts w:ascii="Times New Roman" w:hAnsi="Times New Roman"/>
          <w:sz w:val="24"/>
          <w:szCs w:val="24"/>
        </w:rPr>
        <w:t>, 2010). Compte tenu de leurs multiples usages médicinaux, il serait souhaitable d’approfondir les études pharmacologiques à partir des écorces et racines</w:t>
      </w:r>
      <w:r w:rsidR="00ED0751" w:rsidRPr="00F4414F">
        <w:rPr>
          <w:rFonts w:ascii="Times New Roman" w:eastAsia="Arial Unicode MS" w:hAnsi="Times New Roman" w:cs="Times New Roman"/>
          <w:color w:val="auto"/>
          <w:sz w:val="24"/>
          <w:szCs w:val="24"/>
          <w:lang w:eastAsia="en-US"/>
        </w:rPr>
        <w:t xml:space="preserve"> </w:t>
      </w:r>
      <w:r w:rsidR="00ED0751">
        <w:rPr>
          <w:rFonts w:ascii="Times New Roman" w:eastAsia="Arial Unicode MS" w:hAnsi="Times New Roman" w:cs="Times New Roman"/>
          <w:color w:val="auto"/>
          <w:sz w:val="24"/>
          <w:szCs w:val="24"/>
          <w:lang w:eastAsia="en-US"/>
        </w:rPr>
        <w:t xml:space="preserve">ainsi que </w:t>
      </w:r>
      <w:r w:rsidR="00ED0751" w:rsidRPr="00F4414F">
        <w:rPr>
          <w:rFonts w:ascii="Times New Roman" w:eastAsia="Arial Unicode MS" w:hAnsi="Times New Roman" w:cs="Times New Roman"/>
          <w:color w:val="auto"/>
          <w:sz w:val="24"/>
          <w:szCs w:val="24"/>
          <w:lang w:eastAsia="en-US"/>
        </w:rPr>
        <w:t>les études chimiques de fa</w:t>
      </w:r>
      <w:r w:rsidR="00ED0751" w:rsidRPr="00ED0751">
        <w:rPr>
          <w:rFonts w:ascii="Times New Roman" w:eastAsia="Arial Unicode MS" w:hAnsi="Times New Roman" w:cs="Times New Roman"/>
          <w:color w:val="auto"/>
          <w:sz w:val="24"/>
          <w:szCs w:val="24"/>
          <w:lang w:val="pt-PT" w:eastAsia="en-US"/>
        </w:rPr>
        <w:t>ç</w:t>
      </w:r>
      <w:r w:rsidR="00ED0751" w:rsidRPr="00F4414F">
        <w:rPr>
          <w:rFonts w:ascii="Times New Roman" w:eastAsia="Arial Unicode MS" w:hAnsi="Times New Roman" w:cs="Times New Roman"/>
          <w:color w:val="auto"/>
          <w:sz w:val="24"/>
          <w:szCs w:val="24"/>
          <w:lang w:eastAsia="en-US"/>
        </w:rPr>
        <w:t>on à identifier les molécules actives</w:t>
      </w:r>
      <w:r>
        <w:rPr>
          <w:rStyle w:val="AucunA"/>
          <w:rFonts w:ascii="Times New Roman" w:hAnsi="Times New Roman"/>
          <w:sz w:val="24"/>
          <w:szCs w:val="24"/>
        </w:rPr>
        <w:t>.</w:t>
      </w:r>
    </w:p>
    <w:p w:rsidR="003A53F7" w:rsidRDefault="00670B5E">
      <w:pPr>
        <w:pStyle w:val="CorpsA"/>
        <w:numPr>
          <w:ilvl w:val="2"/>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Analyse et gestion des conflits sociaux potentiels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Certains usages peuvent avoir des impacts positifs comme négatifs sur les peuplements d’</w:t>
      </w:r>
      <w:r>
        <w:rPr>
          <w:rStyle w:val="AucunA"/>
          <w:rFonts w:ascii="Times New Roman" w:hAnsi="Times New Roman"/>
          <w:i/>
          <w:iCs/>
          <w:sz w:val="24"/>
          <w:szCs w:val="24"/>
        </w:rPr>
        <w:t>Entandrophragma</w:t>
      </w:r>
      <w:r>
        <w:rPr>
          <w:rStyle w:val="AucunA"/>
          <w:rFonts w:ascii="Times New Roman" w:hAnsi="Times New Roman"/>
          <w:sz w:val="24"/>
          <w:szCs w:val="24"/>
        </w:rPr>
        <w:t xml:space="preserve"> et constituer par conséquent des sources de conflits entre les communautés locales et les gestionnaires des concessions forestières</w:t>
      </w:r>
      <w:r>
        <w:rPr>
          <w:rStyle w:val="AucunAA"/>
        </w:rPr>
        <w:t xml:space="preserve"> </w:t>
      </w:r>
      <w:r>
        <w:rPr>
          <w:rStyle w:val="AucunA"/>
          <w:rFonts w:ascii="Times New Roman" w:hAnsi="Times New Roman"/>
          <w:sz w:val="24"/>
          <w:szCs w:val="24"/>
        </w:rPr>
        <w:t xml:space="preserve">(e.g., l’abattage des arbres limite les possibilités de collecte des chenilles). La récolte des chenilles comestibles de </w:t>
      </w:r>
      <w:r>
        <w:rPr>
          <w:rStyle w:val="AucunA"/>
          <w:rFonts w:ascii="Times New Roman" w:hAnsi="Times New Roman"/>
          <w:sz w:val="24"/>
          <w:szCs w:val="24"/>
        </w:rPr>
        <w:lastRenderedPageBreak/>
        <w:t xml:space="preserve">l’espèce </w:t>
      </w:r>
      <w:r>
        <w:rPr>
          <w:rStyle w:val="AucunA"/>
          <w:rFonts w:ascii="Times New Roman" w:hAnsi="Times New Roman"/>
          <w:i/>
          <w:iCs/>
          <w:sz w:val="24"/>
          <w:szCs w:val="24"/>
        </w:rPr>
        <w:t>Imbrasia oyemensis</w:t>
      </w:r>
      <w:r>
        <w:rPr>
          <w:rStyle w:val="AucunA"/>
          <w:rFonts w:ascii="Times New Roman" w:hAnsi="Times New Roman"/>
          <w:sz w:val="24"/>
          <w:szCs w:val="24"/>
        </w:rPr>
        <w:t>, inféodées aux grands sapellis, se déroule entre juillet et aoû</w:t>
      </w:r>
      <w:r>
        <w:rPr>
          <w:rStyle w:val="AucunA"/>
          <w:rFonts w:ascii="Times New Roman" w:hAnsi="Times New Roman"/>
          <w:sz w:val="24"/>
          <w:szCs w:val="24"/>
          <w:lang w:val="it-IT"/>
        </w:rPr>
        <w:t xml:space="preserve">t (Palla </w:t>
      </w:r>
      <w:r>
        <w:rPr>
          <w:rStyle w:val="AucunA"/>
          <w:rFonts w:ascii="Times New Roman" w:hAnsi="Times New Roman"/>
          <w:i/>
          <w:iCs/>
          <w:sz w:val="24"/>
          <w:szCs w:val="24"/>
          <w:lang w:val="it-IT"/>
        </w:rPr>
        <w:t>et al.</w:t>
      </w:r>
      <w:r>
        <w:rPr>
          <w:rStyle w:val="AucunA"/>
          <w:rFonts w:ascii="Times New Roman" w:hAnsi="Times New Roman"/>
          <w:sz w:val="24"/>
          <w:szCs w:val="24"/>
          <w:lang w:val="it-IT"/>
        </w:rPr>
        <w:t xml:space="preserve">, 2002 ; Eckebil </w:t>
      </w:r>
      <w:r>
        <w:rPr>
          <w:rStyle w:val="AucunA"/>
          <w:rFonts w:ascii="Times New Roman" w:hAnsi="Times New Roman"/>
          <w:i/>
          <w:iCs/>
          <w:sz w:val="24"/>
          <w:szCs w:val="24"/>
          <w:lang w:val="it-IT"/>
        </w:rPr>
        <w:t>et al.</w:t>
      </w:r>
      <w:r>
        <w:rPr>
          <w:rStyle w:val="AucunA"/>
          <w:rFonts w:ascii="Times New Roman" w:hAnsi="Times New Roman"/>
          <w:sz w:val="24"/>
          <w:szCs w:val="24"/>
          <w:lang w:val="it-IT"/>
        </w:rPr>
        <w:t xml:space="preserve">, 2017). </w:t>
      </w:r>
      <w:r>
        <w:rPr>
          <w:rStyle w:val="AucunA"/>
          <w:rFonts w:ascii="Times New Roman" w:hAnsi="Times New Roman"/>
          <w:sz w:val="24"/>
          <w:szCs w:val="24"/>
        </w:rPr>
        <w:t xml:space="preserve">Il est possible que cette collecte à des fins alimentaires ou la pharmacopée ait entrainé l’abattage d’arbres au lieu de favoriser leur conservation par les utilisateurs. Cette utilisation de produits forestiers non ligneux par les populations riveraines des concessions forestières va cependant à l’encontre de l’exploitation industrielle (Vermeulen et al., 2009) et créé ainsi de potentiels conflits entre exploitants et populations environnantes. Il faudrait alors envisager une gestion inclusive des forêts de production en Afrique centrale pour éviter ou réduire ce genre de conflits (Karsenty et Vermeulen, 2016). Ce modèle de gestion est observé par exemple au nord du Congo où les sociétés forestières certifiées FSC (Forest Stewardship Council) marquent les sapellis à chenilles avec les populations locales pour éviter leur abattage. En complément de l’efficacité à cette approche participative, CFT (2015) préconise qu’une analyse des conflits d’usage potentiels soit faite village par village, au moment de la préparation des Plans Annuels d’Exploitation afin que des mesures de réduction de l’impact social soient prises, notamment en protégeant les arbres importants pour les populations locales. Tieguong </w:t>
      </w:r>
      <w:r>
        <w:rPr>
          <w:rStyle w:val="AucunA"/>
          <w:rFonts w:ascii="Times New Roman" w:hAnsi="Times New Roman"/>
          <w:i/>
          <w:iCs/>
          <w:sz w:val="24"/>
          <w:szCs w:val="24"/>
        </w:rPr>
        <w:t>et al.</w:t>
      </w:r>
      <w:r>
        <w:rPr>
          <w:rStyle w:val="AucunA"/>
          <w:rFonts w:ascii="Times New Roman" w:hAnsi="Times New Roman"/>
          <w:sz w:val="24"/>
          <w:szCs w:val="24"/>
        </w:rPr>
        <w:t xml:space="preserve"> (2017) renchérissent sur la nécessité de disposer des informations sur la disponibilité et l’accessibilité des espèces d’arbres à usages multiples, afin de pouvoir négocier un mode de gestion satisfaisant à la fois concessionnaires et communautés locales.</w:t>
      </w:r>
      <w:r>
        <w:rPr>
          <w:rStyle w:val="AucunA"/>
          <w:sz w:val="24"/>
          <w:szCs w:val="24"/>
        </w:rPr>
        <w:t xml:space="preserve"> </w:t>
      </w:r>
      <w:r>
        <w:rPr>
          <w:rStyle w:val="AucunA"/>
          <w:rFonts w:ascii="Times New Roman" w:hAnsi="Times New Roman"/>
          <w:sz w:val="24"/>
          <w:szCs w:val="24"/>
        </w:rPr>
        <w:t xml:space="preserve">Ainsi, certaines populations de </w:t>
      </w:r>
      <w:r>
        <w:rPr>
          <w:rStyle w:val="AucunA"/>
          <w:rFonts w:ascii="Times New Roman" w:hAnsi="Times New Roman"/>
          <w:sz w:val="24"/>
          <w:szCs w:val="24"/>
          <w:lang w:val="it-IT"/>
        </w:rPr>
        <w:t>sapelli ou d’autres espèces d’</w:t>
      </w:r>
      <w:r>
        <w:rPr>
          <w:rStyle w:val="AucunA"/>
          <w:rFonts w:ascii="Times New Roman" w:hAnsi="Times New Roman"/>
          <w:i/>
          <w:iCs/>
          <w:sz w:val="24"/>
          <w:szCs w:val="24"/>
          <w:lang w:val="it-IT"/>
        </w:rPr>
        <w:t>Entandrophragma</w:t>
      </w:r>
      <w:r>
        <w:rPr>
          <w:rStyle w:val="AucunA"/>
          <w:rFonts w:ascii="Times New Roman" w:hAnsi="Times New Roman"/>
          <w:sz w:val="24"/>
          <w:szCs w:val="24"/>
          <w:lang w:val="it-IT"/>
        </w:rPr>
        <w:t xml:space="preserve"> de grande valeur commerciale se trouvant dans les terroirs villageois seraient à classer</w:t>
      </w:r>
      <w:r>
        <w:rPr>
          <w:rStyle w:val="AucunA"/>
          <w:rFonts w:ascii="Times New Roman" w:hAnsi="Times New Roman"/>
          <w:sz w:val="24"/>
          <w:szCs w:val="24"/>
        </w:rPr>
        <w:t xml:space="preserve"> en zone de Haute Valeur de Conservation de type 5 </w:t>
      </w:r>
      <w:r>
        <w:rPr>
          <w:rStyle w:val="AucunA"/>
          <w:rFonts w:ascii="Times New Roman" w:hAnsi="Times New Roman"/>
          <w:i/>
          <w:iCs/>
          <w:sz w:val="24"/>
          <w:szCs w:val="24"/>
        </w:rPr>
        <w:t>(« zones forestières fournissant aux communautés locales des ressources nécessaires à la satisfaction de leurs besoins élémentaires […]</w:t>
      </w:r>
      <w:r>
        <w:rPr>
          <w:rStyle w:val="AucunA"/>
          <w:rFonts w:ascii="Times New Roman" w:hAnsi="Times New Roman"/>
          <w:sz w:val="24"/>
          <w:szCs w:val="24"/>
        </w:rPr>
        <w:t xml:space="preserve"> »  (Daïnou </w:t>
      </w:r>
      <w:r>
        <w:rPr>
          <w:rStyle w:val="AucunA"/>
          <w:rFonts w:ascii="Times New Roman" w:hAnsi="Times New Roman"/>
          <w:i/>
          <w:iCs/>
          <w:sz w:val="24"/>
          <w:szCs w:val="24"/>
        </w:rPr>
        <w:t>et al.</w:t>
      </w:r>
      <w:r>
        <w:rPr>
          <w:rStyle w:val="AucunA"/>
          <w:rFonts w:ascii="Times New Roman" w:hAnsi="Times New Roman"/>
          <w:sz w:val="24"/>
          <w:szCs w:val="24"/>
        </w:rPr>
        <w:t xml:space="preserve">, 2016). </w:t>
      </w:r>
    </w:p>
    <w:p w:rsidR="003A53F7" w:rsidRDefault="00670B5E">
      <w:pPr>
        <w:pStyle w:val="CorpsA"/>
        <w:numPr>
          <w:ilvl w:val="0"/>
          <w:numId w:val="9"/>
        </w:numPr>
        <w:suppressAutoHyphens/>
        <w:spacing w:after="0" w:line="480" w:lineRule="auto"/>
        <w:jc w:val="both"/>
        <w:rPr>
          <w:rStyle w:val="AucunA"/>
          <w:rFonts w:ascii="Times New Roman" w:eastAsia="Times New Roman" w:hAnsi="Times New Roman" w:cs="Times New Roman"/>
          <w:b/>
          <w:bCs/>
          <w:sz w:val="24"/>
          <w:szCs w:val="24"/>
          <w:shd w:val="clear" w:color="auto" w:fill="FFFFFF"/>
        </w:rPr>
      </w:pPr>
      <w:r>
        <w:rPr>
          <w:rStyle w:val="AucunA"/>
          <w:rFonts w:ascii="Times New Roman" w:hAnsi="Times New Roman"/>
          <w:b/>
          <w:bCs/>
          <w:sz w:val="24"/>
          <w:szCs w:val="24"/>
          <w:shd w:val="clear" w:color="auto" w:fill="FFFFFF"/>
        </w:rPr>
        <w:t>Gestion des populations d’</w:t>
      </w:r>
      <w:r>
        <w:rPr>
          <w:rStyle w:val="AucunA"/>
          <w:rFonts w:ascii="Times New Roman" w:hAnsi="Times New Roman"/>
          <w:b/>
          <w:bCs/>
          <w:i/>
          <w:iCs/>
          <w:sz w:val="24"/>
          <w:szCs w:val="24"/>
          <w:shd w:val="clear" w:color="auto" w:fill="FFFFFF"/>
        </w:rPr>
        <w:t>Entandrophragma</w:t>
      </w:r>
      <w:r>
        <w:rPr>
          <w:rStyle w:val="AucunA"/>
          <w:rFonts w:ascii="Times New Roman" w:hAnsi="Times New Roman"/>
          <w:b/>
          <w:bCs/>
          <w:sz w:val="24"/>
          <w:szCs w:val="24"/>
          <w:shd w:val="clear" w:color="auto" w:fill="FFFFFF"/>
        </w:rPr>
        <w:t xml:space="preserve"> </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Statut de conservation </w:t>
      </w:r>
    </w:p>
    <w:p w:rsidR="003A53F7" w:rsidRDefault="00670B5E">
      <w:pPr>
        <w:pStyle w:val="CorpsA"/>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lastRenderedPageBreak/>
        <w:t>Bref aperçu sur l’approche de classification.</w:t>
      </w:r>
      <w:r>
        <w:rPr>
          <w:rStyle w:val="AucunA"/>
          <w:rFonts w:ascii="Times New Roman" w:hAnsi="Times New Roman"/>
          <w:sz w:val="24"/>
          <w:szCs w:val="24"/>
        </w:rPr>
        <w:t xml:space="preserve"> Les quatre principales espèces d’</w:t>
      </w:r>
      <w:r>
        <w:rPr>
          <w:rStyle w:val="AucunA"/>
          <w:rFonts w:ascii="Times New Roman" w:hAnsi="Times New Roman"/>
          <w:i/>
          <w:iCs/>
          <w:sz w:val="24"/>
          <w:szCs w:val="24"/>
        </w:rPr>
        <w:t>Entandrophragma</w:t>
      </w:r>
      <w:r w:rsidR="0030431A">
        <w:rPr>
          <w:rStyle w:val="AucunA"/>
          <w:rFonts w:ascii="Times New Roman" w:hAnsi="Times New Roman"/>
          <w:sz w:val="24"/>
          <w:szCs w:val="24"/>
        </w:rPr>
        <w:t xml:space="preserve"> (tiama</w:t>
      </w:r>
      <w:r>
        <w:rPr>
          <w:rStyle w:val="AucunA"/>
          <w:rFonts w:ascii="Times New Roman" w:hAnsi="Times New Roman"/>
          <w:sz w:val="24"/>
          <w:szCs w:val="24"/>
        </w:rPr>
        <w:t xml:space="preserve"> </w:t>
      </w:r>
      <w:r w:rsidR="0030431A">
        <w:rPr>
          <w:rStyle w:val="AucunA"/>
          <w:rFonts w:ascii="Times New Roman" w:hAnsi="Times New Roman"/>
          <w:sz w:val="24"/>
          <w:szCs w:val="24"/>
        </w:rPr>
        <w:t>noir</w:t>
      </w:r>
      <w:r>
        <w:rPr>
          <w:rStyle w:val="AucunA"/>
          <w:rFonts w:ascii="Times New Roman" w:hAnsi="Times New Roman"/>
          <w:sz w:val="24"/>
          <w:szCs w:val="24"/>
        </w:rPr>
        <w:t xml:space="preserve"> </w:t>
      </w:r>
      <w:r w:rsidR="0030431A">
        <w:rPr>
          <w:rStyle w:val="AucunA"/>
          <w:rFonts w:ascii="Times New Roman" w:hAnsi="Times New Roman"/>
          <w:sz w:val="24"/>
          <w:szCs w:val="24"/>
        </w:rPr>
        <w:t>étant toujours assimilé au tiama blanc bien que les deux e</w:t>
      </w:r>
      <w:r w:rsidR="0030431A">
        <w:rPr>
          <w:rStyle w:val="AucunA"/>
          <w:rFonts w:ascii="Times New Roman" w:hAnsi="Times New Roman"/>
          <w:sz w:val="24"/>
          <w:szCs w:val="24"/>
        </w:rPr>
        <w:t>s</w:t>
      </w:r>
      <w:r w:rsidR="0030431A">
        <w:rPr>
          <w:rStyle w:val="AucunA"/>
          <w:rFonts w:ascii="Times New Roman" w:hAnsi="Times New Roman"/>
          <w:sz w:val="24"/>
          <w:szCs w:val="24"/>
        </w:rPr>
        <w:t>pèces soient distinctement séparées)</w:t>
      </w:r>
      <w:r>
        <w:rPr>
          <w:rStyle w:val="AucunA"/>
          <w:rFonts w:ascii="Times New Roman" w:hAnsi="Times New Roman"/>
          <w:sz w:val="24"/>
          <w:szCs w:val="24"/>
        </w:rPr>
        <w:t xml:space="preserve"> sont classées comme « vulnérables » sur la liste rouge de l’UICN (UICN, 2012). Aucune n’est cependant inscrite dans l’annexe I de la CITES (« </w:t>
      </w:r>
      <w:r>
        <w:rPr>
          <w:rStyle w:val="AucunA"/>
          <w:rFonts w:ascii="Times New Roman" w:hAnsi="Times New Roman"/>
          <w:i/>
          <w:iCs/>
          <w:sz w:val="24"/>
          <w:szCs w:val="24"/>
        </w:rPr>
        <w:t>co</w:t>
      </w:r>
      <w:r>
        <w:rPr>
          <w:rStyle w:val="AucunA"/>
          <w:rFonts w:ascii="Times New Roman" w:hAnsi="Times New Roman"/>
          <w:i/>
          <w:iCs/>
          <w:sz w:val="24"/>
          <w:szCs w:val="24"/>
        </w:rPr>
        <w:t>m</w:t>
      </w:r>
      <w:r>
        <w:rPr>
          <w:rStyle w:val="AucunA"/>
          <w:rFonts w:ascii="Times New Roman" w:hAnsi="Times New Roman"/>
          <w:i/>
          <w:iCs/>
          <w:sz w:val="24"/>
          <w:szCs w:val="24"/>
        </w:rPr>
        <w:t>prend toutes</w:t>
      </w:r>
      <w:r>
        <w:rPr>
          <w:rStyle w:val="AucunA"/>
          <w:rFonts w:ascii="Times New Roman" w:hAnsi="Times New Roman"/>
          <w:sz w:val="24"/>
          <w:szCs w:val="24"/>
        </w:rPr>
        <w:t xml:space="preserve"> </w:t>
      </w:r>
      <w:r>
        <w:rPr>
          <w:rStyle w:val="AucunA"/>
          <w:rFonts w:ascii="Times New Roman" w:hAnsi="Times New Roman"/>
          <w:i/>
          <w:iCs/>
          <w:sz w:val="24"/>
          <w:szCs w:val="24"/>
        </w:rPr>
        <w:t>les espèces menacées d'extinction […]</w:t>
      </w:r>
      <w:r>
        <w:rPr>
          <w:rStyle w:val="AucunA"/>
          <w:rFonts w:ascii="Times New Roman" w:hAnsi="Times New Roman"/>
          <w:sz w:val="24"/>
          <w:szCs w:val="24"/>
        </w:rPr>
        <w:t> »</w:t>
      </w:r>
      <w:r>
        <w:rPr>
          <w:rStyle w:val="AucunA"/>
          <w:rFonts w:ascii="Times New Roman" w:hAnsi="Times New Roman"/>
          <w:sz w:val="24"/>
          <w:szCs w:val="24"/>
          <w:lang w:val="pt-PT"/>
        </w:rPr>
        <w:t xml:space="preserve">; CITES, 1983) ou à l’annexe II (« </w:t>
      </w:r>
      <w:r>
        <w:rPr>
          <w:rStyle w:val="AucunA"/>
          <w:rFonts w:ascii="Times New Roman" w:hAnsi="Times New Roman"/>
          <w:i/>
          <w:iCs/>
          <w:sz w:val="24"/>
          <w:szCs w:val="24"/>
          <w:lang w:val="pt-PT"/>
        </w:rPr>
        <w:t xml:space="preserve">comprend toutes </w:t>
      </w:r>
      <w:r>
        <w:rPr>
          <w:rStyle w:val="AucunA"/>
          <w:rFonts w:ascii="Times New Roman" w:hAnsi="Times New Roman"/>
          <w:i/>
          <w:iCs/>
          <w:sz w:val="24"/>
          <w:szCs w:val="24"/>
        </w:rPr>
        <w:t>les espèces qui pourraient être menacées d’extinction si le commerce des spécimens de ces espèces n'était pas soumis à une réglementation stricte […] »</w:t>
      </w:r>
      <w:r>
        <w:rPr>
          <w:rStyle w:val="AucunA"/>
          <w:rFonts w:ascii="Times New Roman" w:hAnsi="Times New Roman"/>
          <w:sz w:val="24"/>
          <w:szCs w:val="24"/>
        </w:rPr>
        <w:t xml:space="preserve">; CITES, 1983). Un taxon est dit « vulnérable » lorsque les meilleures données disponibles (Sépulchre </w:t>
      </w:r>
      <w:r>
        <w:rPr>
          <w:rStyle w:val="AucunA"/>
          <w:rFonts w:ascii="Times New Roman" w:hAnsi="Times New Roman"/>
          <w:i/>
          <w:iCs/>
          <w:sz w:val="24"/>
          <w:szCs w:val="24"/>
        </w:rPr>
        <w:t>et al.</w:t>
      </w:r>
      <w:r>
        <w:rPr>
          <w:rStyle w:val="AucunA"/>
          <w:rFonts w:ascii="Times New Roman" w:hAnsi="Times New Roman"/>
          <w:sz w:val="24"/>
          <w:szCs w:val="24"/>
        </w:rPr>
        <w:t>, 2008) indiquent qu’</w:t>
      </w:r>
      <w:r>
        <w:rPr>
          <w:rStyle w:val="AucunA"/>
          <w:rFonts w:ascii="Times New Roman" w:hAnsi="Times New Roman"/>
          <w:sz w:val="24"/>
          <w:szCs w:val="24"/>
          <w:lang w:val="it-IT"/>
        </w:rPr>
        <w:t>il r</w:t>
      </w:r>
      <w:r>
        <w:rPr>
          <w:rStyle w:val="AucunA"/>
          <w:rFonts w:ascii="Times New Roman" w:hAnsi="Times New Roman"/>
          <w:sz w:val="24"/>
          <w:szCs w:val="24"/>
        </w:rPr>
        <w:t>é</w:t>
      </w:r>
      <w:r>
        <w:rPr>
          <w:rStyle w:val="AucunA"/>
          <w:rFonts w:ascii="Times New Roman" w:hAnsi="Times New Roman"/>
          <w:sz w:val="24"/>
          <w:szCs w:val="24"/>
          <w:lang w:val="nl-NL"/>
        </w:rPr>
        <w:t xml:space="preserve">pond, </w:t>
      </w:r>
      <w:r>
        <w:rPr>
          <w:rStyle w:val="AucunA"/>
          <w:rFonts w:ascii="Times New Roman" w:hAnsi="Times New Roman"/>
          <w:sz w:val="24"/>
          <w:szCs w:val="24"/>
        </w:rPr>
        <w:t xml:space="preserve">à </w:t>
      </w:r>
      <w:r>
        <w:rPr>
          <w:rStyle w:val="AucunA"/>
          <w:rFonts w:ascii="Times New Roman" w:hAnsi="Times New Roman"/>
          <w:sz w:val="24"/>
          <w:szCs w:val="24"/>
          <w:lang w:val="pt-PT"/>
        </w:rPr>
        <w:t>des degr</w:t>
      </w:r>
      <w:r>
        <w:rPr>
          <w:rStyle w:val="AucunA"/>
          <w:rFonts w:ascii="Times New Roman" w:hAnsi="Times New Roman"/>
          <w:sz w:val="24"/>
          <w:szCs w:val="24"/>
        </w:rPr>
        <w:t xml:space="preserve">és bien précis, à l’un des 5 critères suivants : réduction de la population, répartition géographique (zone d’occurrence et zone d’occupation), population petite et en déclin (nombre d’individus matures), population très petite ou restreinte ainsi que l’analyse quantitative (≥ 10% sur 100 ans). Cette méthodologie proposée par l’UICN a été en partie remise en question par Sépulchre et al. (2008) puisque les critères, difficilement quantifiables, proviennent de l’estimation (portant sur des individus adultes) au niveau global. L’élaboration de listes rouges « régionales » et/ou « sous-régionales » ont été envisagées par l’UICN (Sépulchre </w:t>
      </w:r>
      <w:r>
        <w:rPr>
          <w:rStyle w:val="AucunA"/>
          <w:rFonts w:ascii="Times New Roman" w:hAnsi="Times New Roman"/>
          <w:i/>
          <w:iCs/>
          <w:sz w:val="24"/>
          <w:szCs w:val="24"/>
        </w:rPr>
        <w:t>et al.</w:t>
      </w:r>
      <w:r>
        <w:rPr>
          <w:rStyle w:val="AucunA"/>
          <w:rFonts w:ascii="Times New Roman" w:hAnsi="Times New Roman"/>
          <w:sz w:val="24"/>
          <w:szCs w:val="24"/>
        </w:rPr>
        <w:t xml:space="preserve">, 2008) qui permettraient une meilleure évaluation du risque pesant localement sur les espèces. </w:t>
      </w:r>
    </w:p>
    <w:p w:rsidR="003A53F7" w:rsidRDefault="00670B5E">
      <w:pPr>
        <w:pStyle w:val="CorpsA"/>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L’intensification de l’exploitation.</w:t>
      </w:r>
      <w:r>
        <w:rPr>
          <w:rStyle w:val="AucunA"/>
          <w:rFonts w:ascii="Times New Roman" w:hAnsi="Times New Roman"/>
          <w:sz w:val="24"/>
          <w:szCs w:val="24"/>
        </w:rPr>
        <w:t xml:space="preserve"> L’exploitation intensive des </w:t>
      </w:r>
      <w:r>
        <w:rPr>
          <w:rStyle w:val="AucunA"/>
          <w:rFonts w:ascii="Times New Roman" w:hAnsi="Times New Roman"/>
          <w:i/>
          <w:iCs/>
          <w:sz w:val="24"/>
          <w:szCs w:val="24"/>
        </w:rPr>
        <w:t>Entandrophragma</w:t>
      </w:r>
      <w:r>
        <w:rPr>
          <w:rStyle w:val="AucunA"/>
          <w:rFonts w:ascii="Times New Roman" w:hAnsi="Times New Roman"/>
          <w:sz w:val="24"/>
          <w:szCs w:val="24"/>
        </w:rPr>
        <w:t xml:space="preserve"> en Afrique centrale pourrait compromettre la pérennité de ces espèces dont la raréfaction en Afrique de l’ouest, due à une surexploitation, a été démontrée. Cette situatio</w:t>
      </w:r>
      <w:r w:rsidR="0030431A">
        <w:rPr>
          <w:rStyle w:val="AucunA"/>
          <w:rFonts w:ascii="Times New Roman" w:hAnsi="Times New Roman"/>
          <w:sz w:val="24"/>
          <w:szCs w:val="24"/>
        </w:rPr>
        <w:t xml:space="preserve">n varie d’une espèce à l’autre </w:t>
      </w:r>
      <w:r>
        <w:rPr>
          <w:rStyle w:val="AucunA"/>
          <w:rFonts w:ascii="Times New Roman" w:hAnsi="Times New Roman"/>
          <w:sz w:val="24"/>
          <w:szCs w:val="24"/>
        </w:rPr>
        <w:t>et d’une région à l’autre. En Afrique Centrale, le sapelli, était encore abo</w:t>
      </w:r>
      <w:r>
        <w:rPr>
          <w:rStyle w:val="AucunA"/>
          <w:rFonts w:ascii="Times New Roman" w:hAnsi="Times New Roman"/>
          <w:sz w:val="24"/>
          <w:szCs w:val="24"/>
        </w:rPr>
        <w:t>n</w:t>
      </w:r>
      <w:r>
        <w:rPr>
          <w:rStyle w:val="AucunA"/>
          <w:rFonts w:ascii="Times New Roman" w:hAnsi="Times New Roman"/>
          <w:sz w:val="24"/>
          <w:szCs w:val="24"/>
        </w:rPr>
        <w:t>dant en 2008 malgré une forte exploitation au nord du Congo, au sud-ouest de la RCA et en RDC. A cette époque cette espèce ne présentait pas de signe de vulné</w:t>
      </w:r>
      <w:r>
        <w:rPr>
          <w:rStyle w:val="AucunA"/>
          <w:rFonts w:ascii="Times New Roman" w:hAnsi="Times New Roman"/>
          <w:sz w:val="24"/>
          <w:szCs w:val="24"/>
          <w:lang w:val="it-IT"/>
        </w:rPr>
        <w:t>rabilit</w:t>
      </w:r>
      <w:r>
        <w:rPr>
          <w:rStyle w:val="AucunA"/>
          <w:rFonts w:ascii="Times New Roman" w:hAnsi="Times New Roman"/>
          <w:sz w:val="24"/>
          <w:szCs w:val="24"/>
        </w:rPr>
        <w:t>é marquée (Sépu</w:t>
      </w:r>
      <w:r>
        <w:rPr>
          <w:rStyle w:val="AucunA"/>
          <w:rFonts w:ascii="Times New Roman" w:hAnsi="Times New Roman"/>
          <w:sz w:val="24"/>
          <w:szCs w:val="24"/>
        </w:rPr>
        <w:t>l</w:t>
      </w:r>
      <w:r>
        <w:rPr>
          <w:rStyle w:val="AucunA"/>
          <w:rFonts w:ascii="Times New Roman" w:hAnsi="Times New Roman"/>
          <w:sz w:val="24"/>
          <w:szCs w:val="24"/>
        </w:rPr>
        <w:t>chre, 2008), mais comme elle fournit l’un des bois d’œuvre africains les plus importants commercialement, elle est toujours exploitée sans que des efforts soient faits pour la pérenn</w:t>
      </w:r>
      <w:r>
        <w:rPr>
          <w:rStyle w:val="AucunA"/>
          <w:rFonts w:ascii="Times New Roman" w:hAnsi="Times New Roman"/>
          <w:sz w:val="24"/>
          <w:szCs w:val="24"/>
        </w:rPr>
        <w:t>i</w:t>
      </w:r>
      <w:r>
        <w:rPr>
          <w:rStyle w:val="AucunA"/>
          <w:rFonts w:ascii="Times New Roman" w:hAnsi="Times New Roman"/>
          <w:sz w:val="24"/>
          <w:szCs w:val="24"/>
        </w:rPr>
        <w:lastRenderedPageBreak/>
        <w:t>ser (Ké</w:t>
      </w:r>
      <w:r>
        <w:rPr>
          <w:rStyle w:val="AucunA"/>
          <w:rFonts w:ascii="Times New Roman" w:hAnsi="Times New Roman"/>
          <w:sz w:val="24"/>
          <w:szCs w:val="24"/>
          <w:lang w:val="nl-NL"/>
        </w:rPr>
        <w:t>meuz</w:t>
      </w:r>
      <w:r>
        <w:rPr>
          <w:rStyle w:val="AucunA"/>
          <w:rFonts w:ascii="Times New Roman" w:hAnsi="Times New Roman"/>
          <w:sz w:val="24"/>
          <w:szCs w:val="24"/>
        </w:rPr>
        <w:t xml:space="preserve">é, 2008). Le risque est alors de voir se reproduire le scenario observé en </w:t>
      </w:r>
      <w:r>
        <w:rPr>
          <w:rStyle w:val="AucunA"/>
          <w:rFonts w:ascii="Times New Roman" w:hAnsi="Times New Roman"/>
          <w:sz w:val="24"/>
          <w:szCs w:val="24"/>
          <w:lang w:val="it-IT"/>
        </w:rPr>
        <w:t>Afrique de l’ouest o</w:t>
      </w:r>
      <w:r>
        <w:rPr>
          <w:rStyle w:val="AucunA"/>
          <w:rFonts w:ascii="Times New Roman" w:hAnsi="Times New Roman"/>
          <w:sz w:val="24"/>
          <w:szCs w:val="24"/>
        </w:rPr>
        <w:t>ù les arbres exploitables ont pr</w:t>
      </w:r>
      <w:r w:rsidR="00CF6C4F">
        <w:rPr>
          <w:rStyle w:val="AucunA"/>
          <w:rFonts w:ascii="Times New Roman" w:hAnsi="Times New Roman"/>
          <w:sz w:val="24"/>
          <w:szCs w:val="24"/>
        </w:rPr>
        <w:t>atiquement disparu au point que</w:t>
      </w:r>
      <w:r>
        <w:rPr>
          <w:rStyle w:val="AucunA"/>
          <w:rFonts w:ascii="Times New Roman" w:hAnsi="Times New Roman"/>
          <w:sz w:val="24"/>
          <w:szCs w:val="24"/>
        </w:rPr>
        <w:t xml:space="preserve"> certains industriels de Côte d’Ivoire importent désormais du sapelli en provenance du Congo (Louppe et Ouatt</w:t>
      </w:r>
      <w:r>
        <w:rPr>
          <w:rStyle w:val="AucunA"/>
          <w:rFonts w:ascii="Times New Roman" w:hAnsi="Times New Roman"/>
          <w:sz w:val="24"/>
          <w:szCs w:val="24"/>
        </w:rPr>
        <w:t>a</w:t>
      </w:r>
      <w:r>
        <w:rPr>
          <w:rStyle w:val="AucunA"/>
          <w:rFonts w:ascii="Times New Roman" w:hAnsi="Times New Roman"/>
          <w:sz w:val="24"/>
          <w:szCs w:val="24"/>
        </w:rPr>
        <w:t>ra, 2013). En l’absence des mesures spécifiques</w:t>
      </w:r>
      <w:r>
        <w:rPr>
          <w:rStyle w:val="AucunAA"/>
        </w:rPr>
        <w:t xml:space="preserve"> </w:t>
      </w:r>
      <w:r>
        <w:rPr>
          <w:rStyle w:val="AucunA"/>
          <w:rFonts w:ascii="Times New Roman" w:hAnsi="Times New Roman"/>
          <w:sz w:val="24"/>
          <w:szCs w:val="24"/>
        </w:rPr>
        <w:t xml:space="preserve">de gestion concernant </w:t>
      </w:r>
      <w:r>
        <w:rPr>
          <w:rStyle w:val="AucunA"/>
          <w:rFonts w:ascii="Times New Roman" w:hAnsi="Times New Roman"/>
          <w:i/>
          <w:iCs/>
          <w:sz w:val="24"/>
          <w:szCs w:val="24"/>
        </w:rPr>
        <w:t>E. utile</w:t>
      </w:r>
      <w:r>
        <w:rPr>
          <w:rStyle w:val="AucunA"/>
          <w:rFonts w:ascii="Times New Roman" w:hAnsi="Times New Roman"/>
          <w:sz w:val="24"/>
          <w:szCs w:val="24"/>
        </w:rPr>
        <w:t xml:space="preserve">, Sépulchre </w:t>
      </w:r>
      <w:r>
        <w:rPr>
          <w:rStyle w:val="AucunA"/>
          <w:rFonts w:ascii="Times New Roman" w:hAnsi="Times New Roman"/>
          <w:i/>
          <w:iCs/>
          <w:sz w:val="24"/>
          <w:szCs w:val="24"/>
        </w:rPr>
        <w:t>et al.</w:t>
      </w:r>
      <w:r>
        <w:rPr>
          <w:rStyle w:val="AucunA"/>
          <w:rFonts w:ascii="Times New Roman" w:hAnsi="Times New Roman"/>
          <w:sz w:val="24"/>
          <w:szCs w:val="24"/>
        </w:rPr>
        <w:t xml:space="preserve"> (2008) estiment que l’espèce</w:t>
      </w:r>
      <w:r>
        <w:rPr>
          <w:rStyle w:val="AucunA"/>
          <w:rFonts w:ascii="Times New Roman" w:hAnsi="Times New Roman"/>
          <w:i/>
          <w:iCs/>
          <w:sz w:val="24"/>
          <w:szCs w:val="24"/>
        </w:rPr>
        <w:t xml:space="preserve"> </w:t>
      </w:r>
      <w:r>
        <w:rPr>
          <w:rStyle w:val="AucunA"/>
          <w:rFonts w:ascii="Times New Roman" w:hAnsi="Times New Roman"/>
          <w:sz w:val="24"/>
          <w:szCs w:val="24"/>
        </w:rPr>
        <w:t xml:space="preserve">est menacée malgré une </w:t>
      </w:r>
      <w:commentRangeStart w:id="3"/>
      <w:r>
        <w:rPr>
          <w:rStyle w:val="AucunA"/>
          <w:rFonts w:ascii="Times New Roman" w:hAnsi="Times New Roman"/>
          <w:sz w:val="24"/>
          <w:szCs w:val="24"/>
        </w:rPr>
        <w:t>assez bonne structure des popul</w:t>
      </w:r>
      <w:r>
        <w:rPr>
          <w:rStyle w:val="AucunA"/>
          <w:rFonts w:ascii="Times New Roman" w:hAnsi="Times New Roman"/>
          <w:sz w:val="24"/>
          <w:szCs w:val="24"/>
        </w:rPr>
        <w:t>a</w:t>
      </w:r>
      <w:r>
        <w:rPr>
          <w:rStyle w:val="AucunA"/>
          <w:rFonts w:ascii="Times New Roman" w:hAnsi="Times New Roman"/>
          <w:sz w:val="24"/>
          <w:szCs w:val="24"/>
        </w:rPr>
        <w:t>tions</w:t>
      </w:r>
      <w:commentRangeEnd w:id="3"/>
      <w:r w:rsidR="00CF6C4F">
        <w:rPr>
          <w:rStyle w:val="CommentReference"/>
          <w:rFonts w:ascii="Times New Roman" w:eastAsia="Arial Unicode MS" w:hAnsi="Times New Roman" w:cs="Times New Roman"/>
          <w:color w:val="auto"/>
          <w:lang w:val="en-US" w:eastAsia="en-US"/>
        </w:rPr>
        <w:commentReference w:id="3"/>
      </w:r>
      <w:r>
        <w:rPr>
          <w:rStyle w:val="AucunA"/>
          <w:rFonts w:ascii="Times New Roman" w:hAnsi="Times New Roman"/>
          <w:sz w:val="24"/>
          <w:szCs w:val="24"/>
        </w:rPr>
        <w:t xml:space="preserve"> qui montre l’existence d’une régénération naturelle satisfaisante. L’intérêt commercial pour son bois d’œuvre a entraîné l’extraction des individus de grande taille les mieux confo</w:t>
      </w:r>
      <w:r>
        <w:rPr>
          <w:rStyle w:val="AucunA"/>
          <w:rFonts w:ascii="Times New Roman" w:hAnsi="Times New Roman"/>
          <w:sz w:val="24"/>
          <w:szCs w:val="24"/>
        </w:rPr>
        <w:t>r</w:t>
      </w:r>
      <w:r>
        <w:rPr>
          <w:rStyle w:val="AucunA"/>
          <w:rFonts w:ascii="Times New Roman" w:hAnsi="Times New Roman"/>
          <w:sz w:val="24"/>
          <w:szCs w:val="24"/>
        </w:rPr>
        <w:t xml:space="preserve">més des forêts de Côte d’Ivoire, Ghana, Nigeria, Cameroun, RCA et Ouganda. Si bien qu’en Ouganda par exemple, l’espèce est au bord de l’extinction (Mujuni, 2008). Ailleurs, l’exploitation a pratiqué une </w:t>
      </w:r>
      <w:commentRangeStart w:id="4"/>
      <w:r>
        <w:rPr>
          <w:rStyle w:val="AucunA"/>
          <w:rFonts w:ascii="Times New Roman" w:hAnsi="Times New Roman"/>
          <w:sz w:val="24"/>
          <w:szCs w:val="24"/>
        </w:rPr>
        <w:t xml:space="preserve">sélection génétique à rebours </w:t>
      </w:r>
      <w:commentRangeEnd w:id="4"/>
      <w:r w:rsidR="00CF6C4F">
        <w:rPr>
          <w:rStyle w:val="CommentReference"/>
          <w:rFonts w:ascii="Times New Roman" w:eastAsia="Arial Unicode MS" w:hAnsi="Times New Roman" w:cs="Times New Roman"/>
          <w:color w:val="auto"/>
          <w:lang w:val="en-US" w:eastAsia="en-US"/>
        </w:rPr>
        <w:commentReference w:id="4"/>
      </w:r>
      <w:r>
        <w:rPr>
          <w:rStyle w:val="AucunA"/>
          <w:rFonts w:ascii="Times New Roman" w:hAnsi="Times New Roman"/>
          <w:sz w:val="24"/>
          <w:szCs w:val="24"/>
        </w:rPr>
        <w:t>qui risque de peser sur les popul</w:t>
      </w:r>
      <w:r>
        <w:rPr>
          <w:rStyle w:val="AucunA"/>
          <w:rFonts w:ascii="Times New Roman" w:hAnsi="Times New Roman"/>
          <w:sz w:val="24"/>
          <w:szCs w:val="24"/>
        </w:rPr>
        <w:t>a</w:t>
      </w:r>
      <w:r>
        <w:rPr>
          <w:rStyle w:val="AucunA"/>
          <w:rFonts w:ascii="Times New Roman" w:hAnsi="Times New Roman"/>
          <w:sz w:val="24"/>
          <w:szCs w:val="24"/>
        </w:rPr>
        <w:t xml:space="preserve">tions subsistantes dans un avenir plus ou moins lointain. </w:t>
      </w:r>
      <w:r>
        <w:rPr>
          <w:rStyle w:val="AucunA"/>
          <w:rFonts w:ascii="Times New Roman" w:hAnsi="Times New Roman"/>
          <w:i/>
          <w:iCs/>
          <w:sz w:val="24"/>
          <w:szCs w:val="24"/>
          <w:lang w:val="it-IT"/>
        </w:rPr>
        <w:t>E. angolense</w:t>
      </w:r>
      <w:r>
        <w:rPr>
          <w:rStyle w:val="AucunA"/>
          <w:rFonts w:ascii="Times New Roman" w:hAnsi="Times New Roman"/>
          <w:sz w:val="24"/>
          <w:szCs w:val="24"/>
        </w:rPr>
        <w:t xml:space="preserve"> risque également de subir dans un avenir proche une telle érosion génétique, elle</w:t>
      </w:r>
      <w:r>
        <w:rPr>
          <w:rStyle w:val="AucunA"/>
          <w:rFonts w:ascii="Times New Roman" w:hAnsi="Times New Roman"/>
          <w:i/>
          <w:iCs/>
          <w:sz w:val="24"/>
          <w:szCs w:val="24"/>
        </w:rPr>
        <w:t xml:space="preserve"> </w:t>
      </w:r>
      <w:r>
        <w:rPr>
          <w:rStyle w:val="AucunA"/>
          <w:rFonts w:ascii="Times New Roman" w:hAnsi="Times New Roman"/>
          <w:sz w:val="24"/>
          <w:szCs w:val="24"/>
        </w:rPr>
        <w:t xml:space="preserve">est </w:t>
      </w:r>
      <w:r>
        <w:rPr>
          <w:rStyle w:val="AucunA"/>
          <w:rFonts w:ascii="Times New Roman" w:hAnsi="Times New Roman"/>
          <w:sz w:val="24"/>
          <w:szCs w:val="24"/>
          <w:lang w:val="pt-PT"/>
        </w:rPr>
        <w:t>consid</w:t>
      </w:r>
      <w:r>
        <w:rPr>
          <w:rStyle w:val="AucunA"/>
          <w:rFonts w:ascii="Times New Roman" w:hAnsi="Times New Roman"/>
          <w:sz w:val="24"/>
          <w:szCs w:val="24"/>
        </w:rPr>
        <w:t xml:space="preserve">érée comme menacée au Ghana et en Ouganda (Tchinda, 2008) et est proche de l’extinction au Kenya (Fischer </w:t>
      </w:r>
      <w:r>
        <w:rPr>
          <w:rStyle w:val="AucunA"/>
          <w:rFonts w:ascii="Times New Roman" w:hAnsi="Times New Roman"/>
          <w:i/>
          <w:iCs/>
          <w:sz w:val="24"/>
          <w:szCs w:val="24"/>
        </w:rPr>
        <w:t>et al.</w:t>
      </w:r>
      <w:r>
        <w:rPr>
          <w:rStyle w:val="AucunA"/>
          <w:rFonts w:ascii="Times New Roman" w:hAnsi="Times New Roman"/>
          <w:sz w:val="24"/>
          <w:szCs w:val="24"/>
        </w:rPr>
        <w:t>, 2010).</w:t>
      </w:r>
      <w:r>
        <w:rPr>
          <w:rStyle w:val="AucunA"/>
          <w:sz w:val="24"/>
          <w:szCs w:val="24"/>
        </w:rPr>
        <w:t xml:space="preserve"> </w:t>
      </w:r>
      <w:r>
        <w:rPr>
          <w:rStyle w:val="AucunA"/>
          <w:rFonts w:ascii="Times New Roman" w:hAnsi="Times New Roman"/>
          <w:i/>
          <w:iCs/>
          <w:sz w:val="24"/>
          <w:szCs w:val="24"/>
        </w:rPr>
        <w:t>E. candollei,</w:t>
      </w:r>
      <w:r>
        <w:rPr>
          <w:rStyle w:val="AucunA"/>
          <w:rFonts w:ascii="Times New Roman" w:hAnsi="Times New Roman"/>
          <w:sz w:val="24"/>
          <w:szCs w:val="24"/>
        </w:rPr>
        <w:t xml:space="preserve"> dont le bois est un peu moins prisé, est néanmoins exploitée dans de nombreuses régions probablement sur des bases peu ou non durables (Nyunaï, 2008). Les données présentées ci-avant datent de près d’une décennie. Depuis, du fait de nombreuses modifications d’habitats, de pressions croissantes sur ces espèces, de l’importance de l’exploitation artisanale très peu contrôlée et en raison de l’application insuffisante de la r</w:t>
      </w:r>
      <w:r>
        <w:rPr>
          <w:rStyle w:val="AucunA"/>
          <w:rFonts w:ascii="Times New Roman" w:hAnsi="Times New Roman"/>
          <w:sz w:val="24"/>
          <w:szCs w:val="24"/>
        </w:rPr>
        <w:t>é</w:t>
      </w:r>
      <w:r>
        <w:rPr>
          <w:rStyle w:val="AucunA"/>
          <w:rFonts w:ascii="Times New Roman" w:hAnsi="Times New Roman"/>
          <w:sz w:val="24"/>
          <w:szCs w:val="24"/>
        </w:rPr>
        <w:t>glementation et des mesures de gestion durable, la situation s’est probablement détériorée. Il est donc urgent de réévaluer la vulnérabilité de chacune des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afin de pouvoir préconiser des mesures de gestion appropriées.</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 xml:space="preserve">Ecrémage et gestion des populations d’arbres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L’exploitation commerciale sélective a conduit à une surexploitation de certaines essences de valeur (des bois rouges comme l’acajou, le sipo, le sapelli ou des bois plus clairs comme l’okoumé) et à une faible exploitation des (nombreuses) autres (Karsenty, 2004). Cette </w:t>
      </w:r>
      <w:r>
        <w:rPr>
          <w:rStyle w:val="AucunA"/>
          <w:rFonts w:ascii="Times New Roman" w:hAnsi="Times New Roman"/>
          <w:sz w:val="24"/>
          <w:szCs w:val="24"/>
        </w:rPr>
        <w:lastRenderedPageBreak/>
        <w:t>extraction sélective couplée à la faiblesse de la régénération, aux faibles taux de croissance, à une maturité tardive des semenciers ainsi qu’à la médiocre dispersion des graines entraine une érosion génétique chez certaines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et menace la qualité génétique des populations, au moins dans certains pays</w:t>
      </w:r>
      <w:r>
        <w:rPr>
          <w:rStyle w:val="AucunAA"/>
        </w:rPr>
        <w:t xml:space="preserve"> </w:t>
      </w:r>
      <w:r>
        <w:rPr>
          <w:rStyle w:val="AucunA"/>
          <w:rFonts w:ascii="Times New Roman" w:hAnsi="Times New Roman"/>
          <w:sz w:val="24"/>
          <w:szCs w:val="24"/>
        </w:rPr>
        <w:t xml:space="preserve">(Lemmens </w:t>
      </w:r>
      <w:r>
        <w:rPr>
          <w:rStyle w:val="AucunA"/>
          <w:rFonts w:ascii="Times New Roman" w:hAnsi="Times New Roman"/>
          <w:i/>
          <w:iCs/>
          <w:sz w:val="24"/>
          <w:szCs w:val="24"/>
        </w:rPr>
        <w:t>et al.</w:t>
      </w:r>
      <w:r>
        <w:rPr>
          <w:rStyle w:val="AucunA"/>
          <w:rFonts w:ascii="Times New Roman" w:hAnsi="Times New Roman"/>
          <w:sz w:val="24"/>
          <w:szCs w:val="24"/>
        </w:rPr>
        <w:t>, 2010). Dans le cas précis d’</w:t>
      </w:r>
      <w:r>
        <w:rPr>
          <w:rStyle w:val="AucunA"/>
          <w:rFonts w:ascii="Times New Roman" w:hAnsi="Times New Roman"/>
          <w:i/>
          <w:iCs/>
          <w:sz w:val="24"/>
          <w:szCs w:val="24"/>
        </w:rPr>
        <w:t>E. cylindricum</w:t>
      </w:r>
      <w:r>
        <w:rPr>
          <w:rStyle w:val="AucunA"/>
          <w:rFonts w:ascii="Times New Roman" w:hAnsi="Times New Roman"/>
          <w:sz w:val="24"/>
          <w:szCs w:val="24"/>
        </w:rPr>
        <w:t xml:space="preserve">, </w:t>
      </w:r>
      <w:r>
        <w:rPr>
          <w:rStyle w:val="AucunA"/>
          <w:rFonts w:ascii="Times New Roman" w:hAnsi="Times New Roman"/>
          <w:sz w:val="24"/>
          <w:szCs w:val="24"/>
          <w:lang w:val="pt-PT"/>
        </w:rPr>
        <w:t xml:space="preserve">Lourmas </w:t>
      </w:r>
      <w:r>
        <w:rPr>
          <w:rStyle w:val="AucunA"/>
          <w:rFonts w:ascii="Times New Roman" w:hAnsi="Times New Roman"/>
          <w:i/>
          <w:iCs/>
          <w:sz w:val="24"/>
          <w:szCs w:val="24"/>
          <w:lang w:val="pt-PT"/>
        </w:rPr>
        <w:t>et al.</w:t>
      </w:r>
      <w:r>
        <w:rPr>
          <w:rStyle w:val="AucunA"/>
          <w:rFonts w:ascii="Times New Roman" w:hAnsi="Times New Roman"/>
          <w:sz w:val="24"/>
          <w:szCs w:val="24"/>
          <w:lang w:val="pt-PT"/>
        </w:rPr>
        <w:t xml:space="preserve"> (2007) ont montré</w:t>
      </w:r>
      <w:r>
        <w:rPr>
          <w:rStyle w:val="AucunA"/>
          <w:rFonts w:ascii="Times New Roman" w:hAnsi="Times New Roman"/>
          <w:sz w:val="24"/>
          <w:szCs w:val="24"/>
        </w:rPr>
        <w:t xml:space="preserve"> que la réduction du nombre de semenciers suite à l’exploitation entraine davantage un déficit de régénération qu’</w:t>
      </w:r>
      <w:r>
        <w:rPr>
          <w:rStyle w:val="AucunA"/>
          <w:rFonts w:ascii="Times New Roman" w:hAnsi="Times New Roman"/>
          <w:sz w:val="24"/>
          <w:szCs w:val="24"/>
          <w:lang w:val="it-IT"/>
        </w:rPr>
        <w:t>un probl</w:t>
      </w:r>
      <w:r>
        <w:rPr>
          <w:rStyle w:val="AucunA"/>
          <w:rFonts w:ascii="Times New Roman" w:hAnsi="Times New Roman"/>
          <w:sz w:val="24"/>
          <w:szCs w:val="24"/>
        </w:rPr>
        <w:t>è</w:t>
      </w:r>
      <w:r>
        <w:rPr>
          <w:rStyle w:val="AucunA"/>
          <w:rFonts w:ascii="Times New Roman" w:hAnsi="Times New Roman"/>
          <w:sz w:val="24"/>
          <w:szCs w:val="24"/>
          <w:lang w:val="pt-PT"/>
        </w:rPr>
        <w:t>me de diversit</w:t>
      </w:r>
      <w:r>
        <w:rPr>
          <w:rStyle w:val="AucunA"/>
          <w:rFonts w:ascii="Times New Roman" w:hAnsi="Times New Roman"/>
          <w:sz w:val="24"/>
          <w:szCs w:val="24"/>
        </w:rPr>
        <w:t xml:space="preserve">é génétique. Ce déficit en tiges d’avenir compromet la pérennité de l’exploitation si aucune gestion dédiée n’est appliquée (Sépulcre </w:t>
      </w:r>
      <w:r>
        <w:rPr>
          <w:rStyle w:val="AucunA"/>
          <w:rFonts w:ascii="Times New Roman" w:hAnsi="Times New Roman"/>
          <w:i/>
          <w:iCs/>
          <w:sz w:val="24"/>
          <w:szCs w:val="24"/>
        </w:rPr>
        <w:t>et al.</w:t>
      </w:r>
      <w:r>
        <w:rPr>
          <w:rStyle w:val="AucunA"/>
          <w:rFonts w:ascii="Times New Roman" w:hAnsi="Times New Roman"/>
          <w:sz w:val="24"/>
          <w:szCs w:val="24"/>
        </w:rPr>
        <w:t>, 2008). Emettre des restrictions sur l’</w:t>
      </w:r>
      <w:r>
        <w:rPr>
          <w:rStyle w:val="AucunA"/>
          <w:rFonts w:ascii="Times New Roman" w:hAnsi="Times New Roman"/>
          <w:sz w:val="24"/>
          <w:szCs w:val="24"/>
          <w:lang w:val="it-IT"/>
        </w:rPr>
        <w:t xml:space="preserve">abattage (e.g. relever les diamètres minima de coupe) afin de conserver des </w:t>
      </w:r>
      <w:r>
        <w:rPr>
          <w:rStyle w:val="AucunA"/>
          <w:rFonts w:ascii="Times New Roman" w:hAnsi="Times New Roman"/>
          <w:sz w:val="24"/>
          <w:szCs w:val="24"/>
        </w:rPr>
        <w:t>semenciers et apporter un</w:t>
      </w:r>
      <w:r w:rsidR="00CF6C4F">
        <w:rPr>
          <w:rStyle w:val="AucunA"/>
          <w:rFonts w:ascii="Times New Roman" w:hAnsi="Times New Roman"/>
          <w:sz w:val="24"/>
          <w:szCs w:val="24"/>
        </w:rPr>
        <w:t>e « assistance »</w:t>
      </w:r>
      <w:r>
        <w:rPr>
          <w:rStyle w:val="AucunA"/>
          <w:rFonts w:ascii="Times New Roman" w:hAnsi="Times New Roman"/>
          <w:sz w:val="24"/>
          <w:szCs w:val="24"/>
        </w:rPr>
        <w:t xml:space="preserve"> à </w:t>
      </w:r>
      <w:r>
        <w:rPr>
          <w:rStyle w:val="AucunA"/>
          <w:rFonts w:ascii="Times New Roman" w:hAnsi="Times New Roman"/>
          <w:sz w:val="24"/>
          <w:szCs w:val="24"/>
          <w:lang w:val="it-IT"/>
        </w:rPr>
        <w:t>la r</w:t>
      </w:r>
      <w:r>
        <w:rPr>
          <w:rStyle w:val="AucunA"/>
          <w:rFonts w:ascii="Times New Roman" w:hAnsi="Times New Roman"/>
          <w:sz w:val="24"/>
          <w:szCs w:val="24"/>
        </w:rPr>
        <w:t xml:space="preserve">égénération comptent parmi les mesures de remédiation préconisées (Owona Ndongo, 2006 ; Lourmas </w:t>
      </w:r>
      <w:r>
        <w:rPr>
          <w:rStyle w:val="AucunA"/>
          <w:rFonts w:ascii="Times New Roman" w:hAnsi="Times New Roman"/>
          <w:i/>
          <w:iCs/>
          <w:sz w:val="24"/>
          <w:szCs w:val="24"/>
        </w:rPr>
        <w:t>et al.</w:t>
      </w:r>
      <w:r>
        <w:rPr>
          <w:rStyle w:val="AucunA"/>
          <w:rFonts w:ascii="Times New Roman" w:hAnsi="Times New Roman"/>
          <w:sz w:val="24"/>
          <w:szCs w:val="24"/>
        </w:rPr>
        <w:t xml:space="preserve">, 2007 ; Sépulchre </w:t>
      </w:r>
      <w:r>
        <w:rPr>
          <w:rStyle w:val="AucunA"/>
          <w:rFonts w:ascii="Times New Roman" w:hAnsi="Times New Roman"/>
          <w:i/>
          <w:iCs/>
          <w:sz w:val="24"/>
          <w:szCs w:val="24"/>
        </w:rPr>
        <w:t>et al.</w:t>
      </w:r>
      <w:r>
        <w:rPr>
          <w:rStyle w:val="AucunA"/>
          <w:rFonts w:ascii="Times New Roman" w:hAnsi="Times New Roman"/>
          <w:sz w:val="24"/>
          <w:szCs w:val="24"/>
        </w:rPr>
        <w:t xml:space="preserve">, 2008 ; Doucet </w:t>
      </w:r>
      <w:r>
        <w:rPr>
          <w:rStyle w:val="AucunA"/>
          <w:rFonts w:ascii="Times New Roman" w:hAnsi="Times New Roman"/>
          <w:i/>
          <w:iCs/>
          <w:sz w:val="24"/>
          <w:szCs w:val="24"/>
        </w:rPr>
        <w:t>et al.</w:t>
      </w:r>
      <w:r>
        <w:rPr>
          <w:rStyle w:val="AucunA"/>
          <w:rFonts w:ascii="Times New Roman" w:hAnsi="Times New Roman"/>
          <w:sz w:val="24"/>
          <w:szCs w:val="24"/>
        </w:rPr>
        <w:t xml:space="preserve">, 2016). Dans ce contexte, il conviendrait </w:t>
      </w:r>
      <w:r w:rsidR="00CF6C4F">
        <w:rPr>
          <w:rStyle w:val="AucunA"/>
          <w:rFonts w:ascii="Times New Roman" w:hAnsi="Times New Roman"/>
          <w:sz w:val="24"/>
          <w:szCs w:val="24"/>
        </w:rPr>
        <w:t xml:space="preserve">de </w:t>
      </w:r>
      <w:r>
        <w:rPr>
          <w:rStyle w:val="AucunA"/>
          <w:rFonts w:ascii="Times New Roman" w:hAnsi="Times New Roman"/>
          <w:sz w:val="24"/>
          <w:szCs w:val="24"/>
        </w:rPr>
        <w:t xml:space="preserve">réaliser des études écologiques sur la régénération des </w:t>
      </w:r>
      <w:r>
        <w:rPr>
          <w:rStyle w:val="AucunA"/>
          <w:rFonts w:ascii="Times New Roman" w:hAnsi="Times New Roman"/>
          <w:i/>
          <w:iCs/>
          <w:sz w:val="24"/>
          <w:szCs w:val="24"/>
        </w:rPr>
        <w:t>Entandrophragma</w:t>
      </w:r>
      <w:r>
        <w:rPr>
          <w:rStyle w:val="AucunA"/>
          <w:rFonts w:ascii="Times New Roman" w:hAnsi="Times New Roman"/>
          <w:sz w:val="24"/>
          <w:szCs w:val="24"/>
        </w:rPr>
        <w:t xml:space="preserve"> comparant des forêts exploitées récemment à des forêts non exploitées ou exploitées anciennement afin de mieux comprendre les processus de reproduction (phénologie de la floraison et de la fructification, dispersion du pollen et des graines dans la poursuite des travaux de Lourmas </w:t>
      </w:r>
      <w:r>
        <w:rPr>
          <w:rStyle w:val="AucunA"/>
          <w:rFonts w:ascii="Times New Roman" w:hAnsi="Times New Roman"/>
          <w:i/>
          <w:iCs/>
          <w:sz w:val="24"/>
          <w:szCs w:val="24"/>
        </w:rPr>
        <w:t>et al.</w:t>
      </w:r>
      <w:r>
        <w:rPr>
          <w:rStyle w:val="AucunA"/>
          <w:rFonts w:ascii="Times New Roman" w:hAnsi="Times New Roman"/>
          <w:sz w:val="24"/>
          <w:szCs w:val="24"/>
        </w:rPr>
        <w:t xml:space="preserve">, 2007 et Monthe </w:t>
      </w:r>
      <w:r>
        <w:rPr>
          <w:rStyle w:val="AucunA"/>
          <w:rFonts w:ascii="Times New Roman" w:hAnsi="Times New Roman"/>
          <w:i/>
          <w:iCs/>
          <w:sz w:val="24"/>
          <w:szCs w:val="24"/>
        </w:rPr>
        <w:t>et al.</w:t>
      </w:r>
      <w:r>
        <w:rPr>
          <w:rStyle w:val="AucunA"/>
          <w:rFonts w:ascii="Times New Roman" w:hAnsi="Times New Roman"/>
          <w:sz w:val="24"/>
          <w:szCs w:val="24"/>
        </w:rPr>
        <w:t xml:space="preserve">, 2017) ainsi que les conditions écologiques déterminant l’installation des plantules, leur survie et leur croissance ainsi que les risques biotiques et abiotiques qui pèsent sur elles. </w:t>
      </w:r>
    </w:p>
    <w:p w:rsidR="003A53F7" w:rsidRDefault="00670B5E">
      <w:pPr>
        <w:pStyle w:val="CorpsA"/>
        <w:numPr>
          <w:ilvl w:val="0"/>
          <w:numId w:val="2"/>
        </w:numPr>
        <w:suppressAutoHyphens/>
        <w:spacing w:after="0" w:line="480" w:lineRule="auto"/>
        <w:jc w:val="both"/>
        <w:rPr>
          <w:rStyle w:val="AucunA"/>
          <w:rFonts w:ascii="Times New Roman" w:eastAsia="Times New Roman" w:hAnsi="Times New Roman" w:cs="Times New Roman"/>
          <w:b/>
          <w:bCs/>
          <w:sz w:val="24"/>
          <w:szCs w:val="24"/>
          <w:shd w:val="clear" w:color="auto" w:fill="FFFFFF"/>
        </w:rPr>
      </w:pPr>
      <w:r>
        <w:rPr>
          <w:rStyle w:val="AucunA"/>
          <w:rFonts w:ascii="Times New Roman" w:hAnsi="Times New Roman"/>
          <w:b/>
          <w:bCs/>
          <w:sz w:val="24"/>
          <w:szCs w:val="24"/>
          <w:shd w:val="clear" w:color="auto" w:fill="FFFFFF"/>
        </w:rPr>
        <w:t>Politique, législation et réglementation en matière de gestion durable</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shd w:val="clear" w:color="auto" w:fill="FFFFFF"/>
        </w:rPr>
      </w:pPr>
      <w:r>
        <w:rPr>
          <w:rStyle w:val="AucunA"/>
          <w:rFonts w:ascii="Times New Roman" w:hAnsi="Times New Roman"/>
          <w:b/>
          <w:bCs/>
          <w:sz w:val="24"/>
          <w:szCs w:val="24"/>
          <w:shd w:val="clear" w:color="auto" w:fill="FFFFFF"/>
        </w:rPr>
        <w:t>Catégorisation et mise en œuvre de dispositifs de gestion durable.</w:t>
      </w:r>
      <w:r>
        <w:rPr>
          <w:rStyle w:val="AucunA"/>
          <w:rFonts w:ascii="Times New Roman" w:hAnsi="Times New Roman"/>
          <w:sz w:val="24"/>
          <w:szCs w:val="24"/>
          <w:shd w:val="clear" w:color="auto" w:fill="FFFFFF"/>
        </w:rPr>
        <w:t xml:space="preserve"> La déclinaison opérationnelle en dispositifs de gestion durable des forêts tropicales se concentre sur un nombre relativement restreint de catégories, à savoir en majorité des dispositifs de gestion visant à améliorer l’exploitation forestière tant industrielle qu’artisanale (aménagement forestier, exploitation à faible impact, certification forestière, reboisement, etc.), à valoriser le stockage de carbone (Mécanisme de Développement Propre – MDP/Forestier, REDD, etc.), et </w:t>
      </w:r>
      <w:r>
        <w:rPr>
          <w:rStyle w:val="AucunA"/>
          <w:rFonts w:ascii="Times New Roman" w:hAnsi="Times New Roman"/>
          <w:sz w:val="24"/>
          <w:szCs w:val="24"/>
          <w:shd w:val="clear" w:color="auto" w:fill="FFFFFF"/>
        </w:rPr>
        <w:lastRenderedPageBreak/>
        <w:t xml:space="preserve">à accroitre l’implication des populations locales (gestion participative, gestion communautaire, etc.; Leroy </w:t>
      </w:r>
      <w:r>
        <w:rPr>
          <w:rStyle w:val="AucunA"/>
          <w:rFonts w:ascii="Times New Roman" w:hAnsi="Times New Roman"/>
          <w:i/>
          <w:iCs/>
          <w:sz w:val="24"/>
          <w:szCs w:val="24"/>
          <w:shd w:val="clear" w:color="auto" w:fill="FFFFFF"/>
        </w:rPr>
        <w:t>et al</w:t>
      </w:r>
      <w:r>
        <w:rPr>
          <w:rStyle w:val="AucunA"/>
          <w:rFonts w:ascii="Times New Roman" w:hAnsi="Times New Roman"/>
          <w:sz w:val="24"/>
          <w:szCs w:val="24"/>
          <w:shd w:val="clear" w:color="auto" w:fill="FFFFFF"/>
        </w:rPr>
        <w:t xml:space="preserve">., 2011). Actuellement, ces trois catégories tendent </w:t>
      </w:r>
      <w:commentRangeStart w:id="5"/>
      <w:r>
        <w:rPr>
          <w:rStyle w:val="AucunA"/>
          <w:rFonts w:ascii="Times New Roman" w:hAnsi="Times New Roman"/>
          <w:sz w:val="24"/>
          <w:szCs w:val="24"/>
          <w:shd w:val="clear" w:color="auto" w:fill="FFFFFF"/>
        </w:rPr>
        <w:t>à s’hybrider</w:t>
      </w:r>
      <w:commentRangeEnd w:id="5"/>
      <w:r w:rsidR="00CF6C4F">
        <w:rPr>
          <w:rStyle w:val="CommentReference"/>
          <w:rFonts w:ascii="Times New Roman" w:eastAsia="Arial Unicode MS" w:hAnsi="Times New Roman" w:cs="Times New Roman"/>
          <w:color w:val="auto"/>
          <w:lang w:val="en-US" w:eastAsia="en-US"/>
        </w:rPr>
        <w:commentReference w:id="5"/>
      </w:r>
      <w:r>
        <w:rPr>
          <w:rStyle w:val="AucunA"/>
          <w:rFonts w:ascii="Times New Roman" w:hAnsi="Times New Roman"/>
          <w:sz w:val="24"/>
          <w:szCs w:val="24"/>
          <w:shd w:val="clear" w:color="auto" w:fill="FFFFFF"/>
        </w:rPr>
        <w:t xml:space="preserve">. La mise en œuvre de ces outils ou instruments de régulation renforceraient la gestion durable des essences forestières. Quelques outils de gestion concernant l’amélioration de l’aménagement forestier (modes d’exploitation forestière artisanale et industrielle) et l’accroissement de stock de bois et de carbone (politique de reboisement) des </w:t>
      </w:r>
      <w:r>
        <w:rPr>
          <w:rStyle w:val="AucunA"/>
          <w:rFonts w:ascii="Times New Roman" w:hAnsi="Times New Roman"/>
          <w:i/>
          <w:iCs/>
          <w:sz w:val="24"/>
          <w:szCs w:val="24"/>
          <w:shd w:val="clear" w:color="auto" w:fill="FFFFFF"/>
        </w:rPr>
        <w:t>Entandrophragma</w:t>
      </w:r>
      <w:r>
        <w:rPr>
          <w:rStyle w:val="AucunA"/>
          <w:rFonts w:ascii="Times New Roman" w:hAnsi="Times New Roman"/>
          <w:sz w:val="24"/>
          <w:szCs w:val="24"/>
          <w:shd w:val="clear" w:color="auto" w:fill="FFFFFF"/>
        </w:rPr>
        <w:t xml:space="preserve"> sont développés dans la section suivante. </w:t>
      </w:r>
    </w:p>
    <w:p w:rsidR="003A53F7" w:rsidRDefault="00670B5E">
      <w:pPr>
        <w:pStyle w:val="ListParagraph"/>
        <w:numPr>
          <w:ilvl w:val="1"/>
          <w:numId w:val="2"/>
        </w:numPr>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Mise en œuvre effective des plans d’aménagement forestier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Approche sectorielle élargie à la valorisation de stock de bois et de carbone.</w:t>
      </w:r>
      <w:r>
        <w:rPr>
          <w:rStyle w:val="AucunA"/>
          <w:rFonts w:ascii="Times New Roman" w:hAnsi="Times New Roman"/>
          <w:sz w:val="24"/>
          <w:szCs w:val="24"/>
        </w:rPr>
        <w:t xml:space="preserve"> En Afrique centrale, les études pour la mise en œuvre de plans d’aménagement forestier (PAF) se sont développées dans les années 1990 (Marien et Mallet, 2004). En théorie, les PAF évaluent les potentialités de la ressource, prennent en compte les compromis entre les aspects écologiques, économiques et sociaux et proposent des solutions équilibrées (Cerutti </w:t>
      </w:r>
      <w:r>
        <w:rPr>
          <w:rStyle w:val="AucunA"/>
          <w:rFonts w:ascii="Times New Roman" w:hAnsi="Times New Roman"/>
          <w:i/>
          <w:iCs/>
          <w:sz w:val="24"/>
          <w:szCs w:val="24"/>
        </w:rPr>
        <w:t>et al.</w:t>
      </w:r>
      <w:r>
        <w:rPr>
          <w:rStyle w:val="AucunA"/>
          <w:rFonts w:ascii="Times New Roman" w:hAnsi="Times New Roman"/>
          <w:sz w:val="24"/>
          <w:szCs w:val="24"/>
        </w:rPr>
        <w:t xml:space="preserve">, 2017). En pratique, l'aménagement forestier doit assurer la conservation des ressources ainsi que le bien-être des populations, et la sylviculture doit fournir les solutions techniques (Dupuy, 1998). Par ailleurs, un PAF est aussi une opportunité pour réduire les émissions de carbone de la forêt tout en présentant aux entreprises forestières des compromis financiers acceptables (Cerutti </w:t>
      </w:r>
      <w:r>
        <w:rPr>
          <w:rStyle w:val="AucunA"/>
          <w:rFonts w:ascii="Times New Roman" w:hAnsi="Times New Roman"/>
          <w:i/>
          <w:iCs/>
          <w:sz w:val="24"/>
          <w:szCs w:val="24"/>
        </w:rPr>
        <w:t>et al.</w:t>
      </w:r>
      <w:r>
        <w:rPr>
          <w:rStyle w:val="AucunA"/>
          <w:rFonts w:ascii="Times New Roman" w:hAnsi="Times New Roman"/>
          <w:sz w:val="24"/>
          <w:szCs w:val="24"/>
        </w:rPr>
        <w:t xml:space="preserve">, 2017). </w:t>
      </w:r>
    </w:p>
    <w:p w:rsidR="003A53F7" w:rsidRDefault="00670B5E">
      <w:pPr>
        <w:pStyle w:val="CorpsA"/>
        <w:suppressAutoHyphens/>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b/>
          <w:bCs/>
          <w:sz w:val="24"/>
          <w:szCs w:val="24"/>
        </w:rPr>
        <w:t>Une attention soutenue à quelques règles et actions spécifiques.</w:t>
      </w:r>
      <w:r>
        <w:rPr>
          <w:rStyle w:val="AucunA"/>
          <w:rFonts w:ascii="Times New Roman" w:hAnsi="Times New Roman"/>
          <w:sz w:val="24"/>
          <w:szCs w:val="24"/>
        </w:rPr>
        <w:t xml:space="preserve"> Pour ne pas compromettre la régénération et favoriser la dynamique de la forêt exploitée, Fargeot </w:t>
      </w:r>
      <w:r>
        <w:rPr>
          <w:rStyle w:val="AucunA"/>
          <w:rFonts w:ascii="Times New Roman" w:hAnsi="Times New Roman"/>
          <w:i/>
          <w:iCs/>
          <w:sz w:val="24"/>
          <w:szCs w:val="24"/>
        </w:rPr>
        <w:t>et al.</w:t>
      </w:r>
      <w:r>
        <w:rPr>
          <w:rStyle w:val="AucunA"/>
          <w:rFonts w:ascii="Times New Roman" w:hAnsi="Times New Roman"/>
          <w:sz w:val="24"/>
          <w:szCs w:val="24"/>
        </w:rPr>
        <w:t xml:space="preserve"> (2004) proposent que deux instruments ou outils de gestion soient privilégiés : la durée de la rotation, qui s’appuie </w:t>
      </w:r>
      <w:r w:rsidR="00525CAD">
        <w:rPr>
          <w:rStyle w:val="AucunA"/>
          <w:rFonts w:ascii="Times New Roman" w:hAnsi="Times New Roman"/>
          <w:sz w:val="24"/>
          <w:szCs w:val="24"/>
        </w:rPr>
        <w:t xml:space="preserve">notamment </w:t>
      </w:r>
      <w:r>
        <w:rPr>
          <w:rStyle w:val="AucunA"/>
          <w:rFonts w:ascii="Times New Roman" w:hAnsi="Times New Roman"/>
          <w:sz w:val="24"/>
          <w:szCs w:val="24"/>
        </w:rPr>
        <w:t>sur des considérations économiques</w:t>
      </w:r>
      <w:r w:rsidR="00525CAD">
        <w:rPr>
          <w:rStyle w:val="AucunA"/>
          <w:rFonts w:ascii="Times New Roman" w:hAnsi="Times New Roman"/>
          <w:sz w:val="24"/>
          <w:szCs w:val="24"/>
        </w:rPr>
        <w:t xml:space="preserve"> et autoécologiques</w:t>
      </w:r>
      <w:r>
        <w:rPr>
          <w:rStyle w:val="AucunA"/>
          <w:rFonts w:ascii="Times New Roman" w:hAnsi="Times New Roman"/>
          <w:sz w:val="24"/>
          <w:szCs w:val="24"/>
        </w:rPr>
        <w:t xml:space="preserve">, et la détermination des diamètres d’exploitabilité tenant compte, au moins idéalement, des impératifs écologiques et techniques. En plus des techniques d’exploitation forestière à impact réduit, ces deux instruments de gestion sont à appliquer lors de la mise en œuvre effective des </w:t>
      </w:r>
      <w:r>
        <w:rPr>
          <w:rStyle w:val="AucunA"/>
          <w:rFonts w:ascii="Times New Roman" w:hAnsi="Times New Roman"/>
          <w:sz w:val="24"/>
          <w:szCs w:val="24"/>
        </w:rPr>
        <w:lastRenderedPageBreak/>
        <w:t>PAF. Selon Karsenty (2004) l’absence de règle de gestion peut poser un problème sérieux pour le renouvellement de la ressource</w:t>
      </w:r>
      <w:r>
        <w:rPr>
          <w:rStyle w:val="AucunA"/>
          <w:sz w:val="24"/>
          <w:szCs w:val="24"/>
        </w:rPr>
        <w:t xml:space="preserve"> </w:t>
      </w:r>
      <w:r>
        <w:rPr>
          <w:rStyle w:val="AucunA"/>
          <w:rFonts w:ascii="Times New Roman" w:hAnsi="Times New Roman"/>
          <w:sz w:val="24"/>
          <w:szCs w:val="24"/>
        </w:rPr>
        <w:t>dans les concessions non aménagées mais aussi, et sans doute surtout, avec le secteur de l’exploitation artisanale informelle. Ainsi, le renouvellement des espèces commerciales d’</w:t>
      </w:r>
      <w:r>
        <w:rPr>
          <w:rStyle w:val="AucunA"/>
          <w:rFonts w:ascii="Times New Roman" w:hAnsi="Times New Roman"/>
          <w:i/>
          <w:iCs/>
          <w:sz w:val="24"/>
          <w:szCs w:val="24"/>
        </w:rPr>
        <w:t>Entandrophragma</w:t>
      </w:r>
      <w:r>
        <w:rPr>
          <w:rStyle w:val="AucunA"/>
          <w:rFonts w:ascii="Times New Roman" w:hAnsi="Times New Roman"/>
          <w:sz w:val="24"/>
          <w:szCs w:val="24"/>
        </w:rPr>
        <w:t xml:space="preserve"> surexploitées devra passer par le respect de la procédure d’élaboration, validation et suivi des PAF. L’aménagement forestier durable s’inscrit aussi dans l’optique de la certification d’une bonne gestion forestière (FSC, Programme Africain de Certification Forestière -PAFC-, etc.) ou des certifications du respect de la légalité (Origine et Légalité de Bois -OLB-, Timber Legality &amp; Traceability Verification -TLTV-, Verification of Legal Origin/Compliance -VLO/VLC-, etc.) (Karsenty et Ferron, 2017). Pour ce faire, Bayol </w:t>
      </w:r>
      <w:r>
        <w:rPr>
          <w:rStyle w:val="AucunA"/>
          <w:rFonts w:ascii="Times New Roman" w:hAnsi="Times New Roman"/>
          <w:i/>
          <w:iCs/>
          <w:sz w:val="24"/>
          <w:szCs w:val="24"/>
        </w:rPr>
        <w:t xml:space="preserve">et al. </w:t>
      </w:r>
      <w:r>
        <w:rPr>
          <w:rStyle w:val="AucunA"/>
          <w:rFonts w:ascii="Times New Roman" w:hAnsi="Times New Roman"/>
          <w:sz w:val="24"/>
          <w:szCs w:val="24"/>
        </w:rPr>
        <w:t>(2010) suggèrent le renforcement des capacités des institutions de contrôle forestier dans un état de droit renforcé (e.g., par la stricte application des lois) là où les concessions forestières ne sont pas aménagées ou t</w:t>
      </w:r>
      <w:r w:rsidR="00085E38">
        <w:rPr>
          <w:rStyle w:val="AucunA"/>
          <w:rFonts w:ascii="Times New Roman" w:hAnsi="Times New Roman"/>
          <w:sz w:val="24"/>
          <w:szCs w:val="24"/>
        </w:rPr>
        <w:t xml:space="preserve">ardent à utiliser les outils </w:t>
      </w:r>
      <w:r>
        <w:rPr>
          <w:rStyle w:val="AucunA"/>
          <w:rFonts w:ascii="Times New Roman" w:hAnsi="Times New Roman"/>
          <w:sz w:val="24"/>
          <w:szCs w:val="24"/>
        </w:rPr>
        <w:t>de gestion évoqués précédemment.</w:t>
      </w:r>
    </w:p>
    <w:p w:rsidR="003A53F7" w:rsidRDefault="00670B5E">
      <w:pPr>
        <w:pStyle w:val="ListParagraph"/>
        <w:numPr>
          <w:ilvl w:val="1"/>
          <w:numId w:val="2"/>
        </w:numPr>
        <w:spacing w:after="0" w:line="480" w:lineRule="auto"/>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Révision des diamètres minimums d’exploitation</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Les diamètres minimums d’exploitation (DME),</w:t>
      </w:r>
      <w:r>
        <w:t xml:space="preserve"> </w:t>
      </w:r>
      <w:r>
        <w:rPr>
          <w:rStyle w:val="AucunA"/>
          <w:rFonts w:ascii="Times New Roman" w:hAnsi="Times New Roman"/>
          <w:sz w:val="24"/>
          <w:szCs w:val="24"/>
        </w:rPr>
        <w:t>seuil légal à partir duquel l’arbre peut légalement être abattu) des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varient d’un pays à l’autre (tableau V). La Côte d’Ivoire, où les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ont été surexploitées depuis les années 1960, avait fixé le DME au niveau le plus bas : 60 cm. A l’opposé, le Ghana a fixé le DME de toutes les 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au niveau le plus élevé : 110 cm. Le Ghana, le Cameroun et le Libéria sont les trois pays qui ont augmenté le DME du sapelli (respectivement à 110 cm, 100 cm et 90 cm) dans le but d’améliorer le taux de reconstitution de la ressource. Le DME du kosipo a été fixé à 80 cm par tous les pays exportateurs d’Afrique centrale.</w:t>
      </w:r>
    </w:p>
    <w:p w:rsidR="003A53F7" w:rsidRDefault="00670B5E">
      <w:pPr>
        <w:pStyle w:val="CorpsA"/>
        <w:suppressAutoHyphens/>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Le diamètre de fructification régulière</w:t>
      </w:r>
      <w:r>
        <w:t xml:space="preserve"> (</w:t>
      </w:r>
      <w:r>
        <w:rPr>
          <w:rStyle w:val="AucunA"/>
          <w:rFonts w:ascii="Times New Roman" w:hAnsi="Times New Roman"/>
          <w:sz w:val="24"/>
          <w:szCs w:val="24"/>
        </w:rPr>
        <w:t xml:space="preserve">DFR), seuil à partir duquel on assiste à une fructification efficace et régulière, est l’un des paramètres importants à prendre en compte </w:t>
      </w:r>
      <w:r>
        <w:rPr>
          <w:rStyle w:val="AucunA"/>
          <w:rFonts w:ascii="Times New Roman" w:hAnsi="Times New Roman"/>
          <w:sz w:val="24"/>
          <w:szCs w:val="24"/>
        </w:rPr>
        <w:lastRenderedPageBreak/>
        <w:t xml:space="preserve">pour assurer la durabilité de l’exploitation. La comparaison DFR-DME (tableau V) permet d’évaluer le risque de raréfaction des arbres semenciers et de la régénération. Pour éviter une trop forte diminution du nombre des semenciers, il convient de veiller à ce que les DME soient nettement supérieurs aux diamètres de fructification régulière (Durrieu de Madron </w:t>
      </w:r>
      <w:r>
        <w:rPr>
          <w:rStyle w:val="AucunA"/>
          <w:rFonts w:ascii="Times New Roman" w:hAnsi="Times New Roman"/>
          <w:i/>
          <w:iCs/>
          <w:sz w:val="24"/>
          <w:szCs w:val="24"/>
        </w:rPr>
        <w:t>et al.</w:t>
      </w:r>
      <w:r>
        <w:rPr>
          <w:rStyle w:val="AucunA"/>
          <w:rFonts w:ascii="Times New Roman" w:hAnsi="Times New Roman"/>
          <w:sz w:val="24"/>
          <w:szCs w:val="24"/>
        </w:rPr>
        <w:t xml:space="preserve">, 2004 ; Sépulchre </w:t>
      </w:r>
      <w:r>
        <w:rPr>
          <w:rStyle w:val="AucunA"/>
          <w:rFonts w:ascii="Times New Roman" w:hAnsi="Times New Roman"/>
          <w:i/>
          <w:iCs/>
          <w:sz w:val="24"/>
          <w:szCs w:val="24"/>
        </w:rPr>
        <w:t>et al.</w:t>
      </w:r>
      <w:r>
        <w:rPr>
          <w:rStyle w:val="AucunA"/>
          <w:rFonts w:ascii="Times New Roman" w:hAnsi="Times New Roman"/>
          <w:sz w:val="24"/>
          <w:szCs w:val="24"/>
        </w:rPr>
        <w:t xml:space="preserve">, 2008 ; Tchinda, 2008 ; Mujuni, 2008 ; Nyunaï, 2008 ; Kézeumé, 2008 ; Daïnou et Doucet, 2010). Puisque la récolte future est fonction des effectifs des classes de diamètre inférieures aux DME, de l'accroissement, des dégâts d'exploitation et de la mortalité (Durrieu de Madron et Forni, 1997), il s’avère important de revoir la réglementation en matière de DME des </w:t>
      </w:r>
      <w:r>
        <w:rPr>
          <w:rStyle w:val="AucunA"/>
          <w:rFonts w:ascii="Times New Roman" w:hAnsi="Times New Roman"/>
          <w:i/>
          <w:iCs/>
          <w:sz w:val="24"/>
          <w:szCs w:val="24"/>
        </w:rPr>
        <w:t>Entandrophragma</w:t>
      </w:r>
      <w:r>
        <w:rPr>
          <w:rStyle w:val="AucunA"/>
          <w:rFonts w:ascii="Times New Roman" w:hAnsi="Times New Roman"/>
          <w:sz w:val="24"/>
          <w:szCs w:val="24"/>
        </w:rPr>
        <w:t xml:space="preserve"> en </w:t>
      </w:r>
      <w:r w:rsidRPr="00D54707">
        <w:rPr>
          <w:rStyle w:val="AucunA"/>
          <w:rFonts w:ascii="Times New Roman" w:hAnsi="Times New Roman"/>
          <w:sz w:val="24"/>
          <w:szCs w:val="24"/>
        </w:rPr>
        <w:t xml:space="preserve">officialisant l’augmentation des DME dans l’ensemble des pays producteurs africains. Fargeot </w:t>
      </w:r>
      <w:r w:rsidRPr="00D54707">
        <w:rPr>
          <w:rStyle w:val="AucunA"/>
          <w:rFonts w:ascii="Times New Roman" w:hAnsi="Times New Roman"/>
          <w:i/>
          <w:iCs/>
          <w:sz w:val="24"/>
          <w:szCs w:val="24"/>
        </w:rPr>
        <w:t>et al.</w:t>
      </w:r>
      <w:r w:rsidRPr="00D54707">
        <w:rPr>
          <w:rStyle w:val="AucunA"/>
          <w:rFonts w:ascii="Times New Roman" w:hAnsi="Times New Roman"/>
          <w:sz w:val="24"/>
          <w:szCs w:val="24"/>
        </w:rPr>
        <w:t xml:space="preserve"> (2004) montrent, qu’à durée de rotation égale, une simple augmentation du DME oblige à conserver sur pied des arbres plus gros et permet d’augmenter la production ligneuse exploitable de la forêt. Cette obligation réglementaire devrait s’appliquer à tous les concessionnaires forestiers, y compris</w:t>
      </w:r>
      <w:r>
        <w:rPr>
          <w:rStyle w:val="AucunA"/>
          <w:rFonts w:ascii="Times New Roman" w:hAnsi="Times New Roman"/>
          <w:sz w:val="24"/>
          <w:szCs w:val="24"/>
        </w:rPr>
        <w:t xml:space="preserve"> ceux qui ne disposent pas encore des PAF et qui ne devraient pas par conséquent être autorisés à exploiter. Dans le cadre d’une volonté d’aménagement durable, les Etats devraient annuler les contrats des concessionnaires toujours sans PAF après les 3 années de la convention provisoire. </w:t>
      </w:r>
    </w:p>
    <w:p w:rsidR="003A53F7" w:rsidRDefault="00670B5E">
      <w:pPr>
        <w:pStyle w:val="CorpsA"/>
        <w:numPr>
          <w:ilvl w:val="1"/>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Réglementation de l’exploitation artisanale et informelle </w:t>
      </w:r>
    </w:p>
    <w:p w:rsidR="003A53F7" w:rsidRDefault="003E4122">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Dans le b</w:t>
      </w:r>
      <w:r w:rsidR="00670B5E">
        <w:rPr>
          <w:rStyle w:val="AucunA"/>
          <w:rFonts w:ascii="Times New Roman" w:hAnsi="Times New Roman"/>
          <w:sz w:val="24"/>
          <w:szCs w:val="24"/>
        </w:rPr>
        <w:t xml:space="preserve">assin du Congo, le marché intérieur du bois est en forte croissance en quantités, mais le faible pouvoir d’achat de la population et l’absence d’exigence des clients quant à la gestion des ressources font que ce marché s’oriente presque systématiquement vers une filière informelle et / ou illégale (Bayol </w:t>
      </w:r>
      <w:r w:rsidR="00670B5E">
        <w:rPr>
          <w:rStyle w:val="AucunA"/>
          <w:rFonts w:ascii="Times New Roman" w:hAnsi="Times New Roman"/>
          <w:i/>
          <w:iCs/>
          <w:sz w:val="24"/>
          <w:szCs w:val="24"/>
        </w:rPr>
        <w:t>et al.</w:t>
      </w:r>
      <w:r w:rsidR="00670B5E">
        <w:rPr>
          <w:rStyle w:val="AucunA"/>
          <w:rFonts w:ascii="Times New Roman" w:hAnsi="Times New Roman"/>
          <w:sz w:val="24"/>
          <w:szCs w:val="24"/>
        </w:rPr>
        <w:t xml:space="preserve">, 2014). Ainsi, la production de grumes du secteur informel peut même dépasser celle du secteur formel (Bayol </w:t>
      </w:r>
      <w:r w:rsidR="00670B5E">
        <w:rPr>
          <w:rStyle w:val="AucunA"/>
          <w:rFonts w:ascii="Times New Roman" w:hAnsi="Times New Roman"/>
          <w:i/>
          <w:iCs/>
          <w:sz w:val="24"/>
          <w:szCs w:val="24"/>
        </w:rPr>
        <w:t>et al.</w:t>
      </w:r>
      <w:r w:rsidR="00670B5E">
        <w:rPr>
          <w:rStyle w:val="AucunA"/>
          <w:rFonts w:ascii="Times New Roman" w:hAnsi="Times New Roman"/>
          <w:sz w:val="24"/>
          <w:szCs w:val="24"/>
        </w:rPr>
        <w:t xml:space="preserve">, 2012). Les études récentes réalisées au Cameroun, au Gabon, en RC, en RCA et en RDC par Lescuyer </w:t>
      </w:r>
      <w:r w:rsidR="00670B5E">
        <w:rPr>
          <w:rStyle w:val="AucunA"/>
          <w:rFonts w:ascii="Times New Roman" w:hAnsi="Times New Roman"/>
          <w:i/>
          <w:iCs/>
          <w:sz w:val="24"/>
          <w:szCs w:val="24"/>
        </w:rPr>
        <w:t>et al.</w:t>
      </w:r>
      <w:r w:rsidR="00670B5E">
        <w:rPr>
          <w:rStyle w:val="AucunA"/>
          <w:rFonts w:ascii="Times New Roman" w:hAnsi="Times New Roman"/>
          <w:sz w:val="24"/>
          <w:szCs w:val="24"/>
        </w:rPr>
        <w:t xml:space="preserve"> (2012) attestent que le marché domestique du bois provenant du sciage artisanal, souvent informel, a atteint une production annuelle globale d’environ 1,25 millions de m</w:t>
      </w:r>
      <w:r w:rsidR="00670B5E">
        <w:rPr>
          <w:rStyle w:val="AucunA"/>
          <w:rFonts w:ascii="Times New Roman" w:hAnsi="Times New Roman"/>
          <w:sz w:val="24"/>
          <w:szCs w:val="24"/>
          <w:vertAlign w:val="superscript"/>
        </w:rPr>
        <w:t xml:space="preserve">3 </w:t>
      </w:r>
      <w:r w:rsidR="00670B5E">
        <w:rPr>
          <w:rStyle w:val="AucunA"/>
          <w:rFonts w:ascii="Times New Roman" w:hAnsi="Times New Roman"/>
          <w:sz w:val="24"/>
          <w:szCs w:val="24"/>
        </w:rPr>
        <w:t xml:space="preserve">de produits transformés, </w:t>
      </w:r>
      <w:r w:rsidR="00670B5E">
        <w:rPr>
          <w:rStyle w:val="AucunA"/>
          <w:rFonts w:ascii="Times New Roman" w:hAnsi="Times New Roman"/>
          <w:sz w:val="24"/>
          <w:szCs w:val="24"/>
        </w:rPr>
        <w:lastRenderedPageBreak/>
        <w:t xml:space="preserve">supérieure à celle du secteur industriel contrôlé. Toutes ces études montrent que les exploitants artisanaux considèrent les </w:t>
      </w:r>
      <w:r w:rsidR="00670B5E">
        <w:rPr>
          <w:rStyle w:val="AucunA"/>
          <w:rFonts w:ascii="Times New Roman" w:hAnsi="Times New Roman"/>
          <w:i/>
          <w:iCs/>
          <w:sz w:val="24"/>
          <w:szCs w:val="24"/>
        </w:rPr>
        <w:t>Entandrophragma</w:t>
      </w:r>
      <w:r w:rsidR="00670B5E">
        <w:rPr>
          <w:rStyle w:val="AucunA"/>
          <w:rFonts w:ascii="Times New Roman" w:hAnsi="Times New Roman"/>
          <w:sz w:val="24"/>
          <w:szCs w:val="24"/>
        </w:rPr>
        <w:t xml:space="preserve">, et quelques autres espèces [e.g., </w:t>
      </w:r>
      <w:r w:rsidR="00670B5E">
        <w:rPr>
          <w:rStyle w:val="AucunA"/>
          <w:rFonts w:ascii="Times New Roman" w:hAnsi="Times New Roman"/>
          <w:i/>
          <w:iCs/>
          <w:sz w:val="24"/>
          <w:szCs w:val="24"/>
        </w:rPr>
        <w:t xml:space="preserve">Khaya anthotheca </w:t>
      </w:r>
      <w:r w:rsidR="00670B5E">
        <w:rPr>
          <w:rStyle w:val="AucunA"/>
          <w:rFonts w:ascii="Times New Roman" w:hAnsi="Times New Roman"/>
          <w:sz w:val="24"/>
          <w:szCs w:val="24"/>
        </w:rPr>
        <w:t xml:space="preserve">(Welw.) C.DC., </w:t>
      </w:r>
      <w:r w:rsidR="00670B5E">
        <w:rPr>
          <w:rStyle w:val="AucunA"/>
          <w:rFonts w:ascii="Times New Roman" w:hAnsi="Times New Roman"/>
          <w:i/>
          <w:iCs/>
          <w:sz w:val="24"/>
          <w:szCs w:val="24"/>
        </w:rPr>
        <w:t xml:space="preserve">Pericopsis elata </w:t>
      </w:r>
      <w:r w:rsidR="00670B5E">
        <w:rPr>
          <w:rStyle w:val="AucunA"/>
          <w:rFonts w:ascii="Times New Roman" w:hAnsi="Times New Roman"/>
          <w:sz w:val="24"/>
          <w:szCs w:val="24"/>
        </w:rPr>
        <w:t xml:space="preserve">(Harms) Meeuwen, </w:t>
      </w:r>
      <w:r w:rsidR="00670B5E">
        <w:rPr>
          <w:rStyle w:val="AucunA"/>
          <w:rFonts w:ascii="Times New Roman" w:hAnsi="Times New Roman"/>
          <w:i/>
          <w:iCs/>
          <w:sz w:val="24"/>
          <w:szCs w:val="24"/>
        </w:rPr>
        <w:t xml:space="preserve">Pterocarpus soyauxii </w:t>
      </w:r>
      <w:r w:rsidR="00670B5E">
        <w:rPr>
          <w:rStyle w:val="AucunA"/>
          <w:rFonts w:ascii="Times New Roman" w:hAnsi="Times New Roman"/>
          <w:sz w:val="24"/>
          <w:szCs w:val="24"/>
        </w:rPr>
        <w:t xml:space="preserve">Taub., </w:t>
      </w:r>
      <w:r w:rsidR="00670B5E">
        <w:rPr>
          <w:rStyle w:val="AucunA"/>
          <w:rFonts w:ascii="Times New Roman" w:hAnsi="Times New Roman"/>
          <w:i/>
          <w:iCs/>
          <w:sz w:val="24"/>
          <w:szCs w:val="24"/>
        </w:rPr>
        <w:t xml:space="preserve">Milicia excelsa </w:t>
      </w:r>
      <w:r w:rsidR="00670B5E">
        <w:rPr>
          <w:rStyle w:val="AucunA"/>
          <w:rFonts w:ascii="Times New Roman" w:hAnsi="Times New Roman"/>
          <w:sz w:val="24"/>
          <w:szCs w:val="24"/>
        </w:rPr>
        <w:t>(Welw.) C.C.Berg</w:t>
      </w:r>
      <w:r w:rsidR="00670B5E">
        <w:rPr>
          <w:rStyle w:val="AucunA"/>
          <w:sz w:val="24"/>
          <w:szCs w:val="24"/>
        </w:rPr>
        <w:t>.</w:t>
      </w:r>
      <w:r w:rsidR="00670B5E">
        <w:rPr>
          <w:rStyle w:val="AucunA"/>
          <w:rFonts w:ascii="Times New Roman" w:hAnsi="Times New Roman"/>
          <w:sz w:val="24"/>
          <w:szCs w:val="24"/>
        </w:rPr>
        <w:t xml:space="preserve">], comme des bois nobles et ciblent spécifiquement (Tshimpanga </w:t>
      </w:r>
      <w:r w:rsidR="00670B5E">
        <w:rPr>
          <w:rStyle w:val="AucunA"/>
          <w:rFonts w:ascii="Times New Roman" w:hAnsi="Times New Roman"/>
          <w:i/>
          <w:iCs/>
          <w:sz w:val="24"/>
          <w:szCs w:val="24"/>
        </w:rPr>
        <w:t>et al.</w:t>
      </w:r>
      <w:r w:rsidR="00670B5E">
        <w:rPr>
          <w:rStyle w:val="AucunA"/>
          <w:rFonts w:ascii="Times New Roman" w:hAnsi="Times New Roman"/>
          <w:sz w:val="24"/>
          <w:szCs w:val="24"/>
        </w:rPr>
        <w:t xml:space="preserve">, 2016). Pour sécuriser l’exploitation artisanale, accroître sa contribution à l’économie nationale et contrôler ses impacts environnementaux, Tiayon et Molnar (2012) recommandent un meilleur contrôle et une formalisation du secteur du sciage artisanal. </w:t>
      </w:r>
    </w:p>
    <w:p w:rsidR="003A53F7" w:rsidRDefault="00670B5E">
      <w:pPr>
        <w:pStyle w:val="ListParagraph"/>
        <w:numPr>
          <w:ilvl w:val="1"/>
          <w:numId w:val="2"/>
        </w:numPr>
        <w:spacing w:after="0" w:line="480" w:lineRule="auto"/>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 xml:space="preserve">Nécessité de renforcer la politique et les actions de reboisement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Selon Marien et Mallet (2004), l’Afrique centrale a commencé à étudier les possibilités d’enrichissement du patrimoine forestier par plantation à partir de 1934 en créant des arboretums à Mbuku Nsitu, dans le massif du Mayombe (Congo), à Sibang, aux portes de Libreville (Gabon), et sur d’autres sites (Mbalmayo au Cameroun, Yangambi en RDC). Ensuite, ont été mis en place des programmes étatiques de plantations d’enrichissement d’espèces à haute valeur commerciale (sipo, sapelli, etc.) dans des layons en forêt naturelle exploitée au nord du Congo, au Cameroun et en RDC (Yangambi). Ces programmes ont été abandonnés assez rapidement pour être remplacés </w:t>
      </w:r>
      <w:r>
        <w:rPr>
          <w:rStyle w:val="AucunA"/>
          <w:rFonts w:ascii="Times New Roman" w:hAnsi="Times New Roman"/>
          <w:i/>
          <w:iCs/>
          <w:sz w:val="24"/>
          <w:szCs w:val="24"/>
        </w:rPr>
        <w:t>e.g.</w:t>
      </w:r>
      <w:r>
        <w:rPr>
          <w:rStyle w:val="AucunA"/>
          <w:rFonts w:ascii="Times New Roman" w:hAnsi="Times New Roman"/>
          <w:sz w:val="24"/>
          <w:szCs w:val="24"/>
        </w:rPr>
        <w:t xml:space="preserve"> par des plantations d’espèces exotiques ou d’okoumé. A une échelle plus modeste, </w:t>
      </w:r>
      <w:r>
        <w:rPr>
          <w:rStyle w:val="AucunA"/>
          <w:rFonts w:ascii="Times New Roman" w:hAnsi="Times New Roman"/>
          <w:i/>
          <w:iCs/>
          <w:sz w:val="24"/>
          <w:szCs w:val="24"/>
        </w:rPr>
        <w:t>e.g.</w:t>
      </w:r>
      <w:r>
        <w:rPr>
          <w:rStyle w:val="AucunA"/>
          <w:rFonts w:ascii="Times New Roman" w:hAnsi="Times New Roman"/>
          <w:sz w:val="24"/>
          <w:szCs w:val="24"/>
        </w:rPr>
        <w:t xml:space="preserve"> certains paysans de l’ouest du Cameroun plantent dans leurs haies le kosipo, considéré comme espèce de forêt naturelle productrice de bois d’œuvre à longue révolution (Temgoua </w:t>
      </w:r>
      <w:r>
        <w:rPr>
          <w:rStyle w:val="AucunA"/>
          <w:rFonts w:ascii="Times New Roman" w:hAnsi="Times New Roman"/>
          <w:i/>
          <w:iCs/>
          <w:sz w:val="24"/>
          <w:szCs w:val="24"/>
        </w:rPr>
        <w:t>et al.</w:t>
      </w:r>
      <w:r>
        <w:rPr>
          <w:rStyle w:val="AucunA"/>
          <w:rFonts w:ascii="Times New Roman" w:hAnsi="Times New Roman"/>
          <w:sz w:val="24"/>
          <w:szCs w:val="24"/>
        </w:rPr>
        <w:t xml:space="preserve">, 2011).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En Côte d’Ivoire, lorsque le rythme de déboisement a atteint 600 000 hectares par an durant la décennie 1960-1970, le pays s’est tourné vers les reboisements en plein (Alexandre, 1982) alors que les programmes d’enrichissement des forêts naturelles avaient déjà été abandonnés. Le défaut des connaissances sur la régénération naturelle évoqué par Catinot (1965), lesquelles sont encore mal maitrisées à ce jour (Doucet </w:t>
      </w:r>
      <w:r>
        <w:rPr>
          <w:rStyle w:val="AucunA"/>
          <w:rFonts w:ascii="Times New Roman" w:hAnsi="Times New Roman"/>
          <w:i/>
          <w:iCs/>
          <w:sz w:val="24"/>
          <w:szCs w:val="24"/>
        </w:rPr>
        <w:t>et al.</w:t>
      </w:r>
      <w:r>
        <w:rPr>
          <w:rStyle w:val="AucunA"/>
          <w:rFonts w:ascii="Times New Roman" w:hAnsi="Times New Roman"/>
          <w:sz w:val="24"/>
          <w:szCs w:val="24"/>
        </w:rPr>
        <w:t xml:space="preserve">, 2016), est l’un des obstacles aux techniques extensives de renouvellement et d’enrichissement du capital forestier naturel.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En matière de plantations forestières, le renforcement des politiques de reboisement devra tenir compte des causes d’échecs multiples identifiées par Marien et Gourlet-Fleury (2014) que sont : des analyses stratégiques préalables insuffisantes ou erronées, des itinéraires techniques approximatifs ou non adaptés, une mauvaise appréciation des enjeux sociaux, une non résolution des prérequis fonciers (problème de sécurité à long terme du foncier, pression pour d’autres usages, spéculation immobilière ou agricole), de mauvais calculs économiques, des impacts environnementaux insuffisamment documentés, des financements insuffisants dans la durée, etc.</w:t>
      </w:r>
    </w:p>
    <w:p w:rsidR="003A53F7" w:rsidRDefault="00670B5E">
      <w:pPr>
        <w:pStyle w:val="ListParagraph"/>
        <w:numPr>
          <w:ilvl w:val="0"/>
          <w:numId w:val="2"/>
        </w:numPr>
        <w:suppressAutoHyphens/>
        <w:spacing w:after="0" w:line="48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t>Conclusion et perspectives de recherche</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lang w:val="it-IT"/>
        </w:rPr>
        <w:t>La pr</w:t>
      </w:r>
      <w:r>
        <w:rPr>
          <w:rStyle w:val="AucunA"/>
          <w:rFonts w:ascii="Times New Roman" w:hAnsi="Times New Roman"/>
          <w:sz w:val="24"/>
          <w:szCs w:val="24"/>
        </w:rPr>
        <w:t>é</w:t>
      </w:r>
      <w:r>
        <w:rPr>
          <w:rStyle w:val="AucunA"/>
          <w:rFonts w:ascii="Times New Roman" w:hAnsi="Times New Roman"/>
          <w:sz w:val="24"/>
          <w:szCs w:val="24"/>
          <w:lang w:val="da-DK"/>
        </w:rPr>
        <w:t>sente</w:t>
      </w:r>
      <w:r>
        <w:rPr>
          <w:rStyle w:val="AucunA"/>
          <w:rFonts w:ascii="Times New Roman" w:hAnsi="Times New Roman"/>
          <w:sz w:val="24"/>
          <w:szCs w:val="24"/>
        </w:rPr>
        <w:t xml:space="preserve"> revue de la littérature sur les enjeux et amélioration de gestion du genre </w:t>
      </w:r>
      <w:r>
        <w:rPr>
          <w:rStyle w:val="AucunA"/>
          <w:rFonts w:ascii="Times New Roman" w:hAnsi="Times New Roman"/>
          <w:i/>
          <w:iCs/>
          <w:sz w:val="24"/>
          <w:szCs w:val="24"/>
        </w:rPr>
        <w:t>Entandrophragma</w:t>
      </w:r>
      <w:r>
        <w:rPr>
          <w:rStyle w:val="AucunA"/>
          <w:rFonts w:ascii="Times New Roman" w:hAnsi="Times New Roman"/>
          <w:sz w:val="24"/>
          <w:szCs w:val="24"/>
        </w:rPr>
        <w:t xml:space="preserve"> en forêt naturelle montre que ce taxon pré</w:t>
      </w:r>
      <w:r>
        <w:rPr>
          <w:rStyle w:val="AucunA"/>
          <w:rFonts w:ascii="Times New Roman" w:hAnsi="Times New Roman"/>
          <w:sz w:val="24"/>
          <w:szCs w:val="24"/>
          <w:lang w:val="it-IT"/>
        </w:rPr>
        <w:t>sente un int</w:t>
      </w:r>
      <w:r>
        <w:rPr>
          <w:rStyle w:val="AucunA"/>
          <w:rFonts w:ascii="Times New Roman" w:hAnsi="Times New Roman"/>
          <w:sz w:val="24"/>
          <w:szCs w:val="24"/>
        </w:rPr>
        <w:t xml:space="preserve">érêt socio-économique important qui fait de lui un genre surexploité. Ayant débuté en Afrique de l’ouest, cette surexploitation, faite de manière industrielle comme artisanale, se concentre </w:t>
      </w:r>
      <w:r w:rsidRPr="00085E38">
        <w:rPr>
          <w:rStyle w:val="AucunA"/>
          <w:rFonts w:ascii="Times New Roman" w:hAnsi="Times New Roman" w:cs="Times New Roman"/>
          <w:sz w:val="24"/>
          <w:szCs w:val="24"/>
        </w:rPr>
        <w:t>aujourd’hui en Afrique centrale. Une régénération naturelle limitée, une vitesse de croissance</w:t>
      </w:r>
      <w:r w:rsidRPr="00085E38">
        <w:rPr>
          <w:rStyle w:val="AucunAA"/>
          <w:rFonts w:ascii="Times New Roman" w:hAnsi="Times New Roman" w:cs="Times New Roman"/>
          <w:sz w:val="24"/>
          <w:szCs w:val="24"/>
        </w:rPr>
        <w:t xml:space="preserve"> moyenne ou </w:t>
      </w:r>
      <w:r w:rsidRPr="00085E38">
        <w:rPr>
          <w:rStyle w:val="AucunA"/>
          <w:rFonts w:ascii="Times New Roman" w:hAnsi="Times New Roman" w:cs="Times New Roman"/>
          <w:sz w:val="24"/>
          <w:szCs w:val="24"/>
        </w:rPr>
        <w:t>faible,</w:t>
      </w:r>
      <w:r>
        <w:rPr>
          <w:rStyle w:val="AucunA"/>
          <w:rFonts w:ascii="Times New Roman" w:hAnsi="Times New Roman"/>
          <w:sz w:val="24"/>
          <w:szCs w:val="24"/>
        </w:rPr>
        <w:t xml:space="preserve"> le non-respect des techniques d’exploitation à faible impact et surtout l’absence de PAF ou leur mise en œuvre partielle et/ou non contrôlée, l’extraction sélective et intensive sont autant de menaces qui pèsent sur les populations naturelles d’</w:t>
      </w:r>
      <w:r>
        <w:rPr>
          <w:rStyle w:val="AucunA"/>
          <w:rFonts w:ascii="Times New Roman" w:hAnsi="Times New Roman"/>
          <w:i/>
          <w:iCs/>
          <w:sz w:val="24"/>
          <w:szCs w:val="24"/>
        </w:rPr>
        <w:t>Entandrophragma</w:t>
      </w:r>
      <w:r>
        <w:rPr>
          <w:rStyle w:val="AucunA"/>
          <w:rFonts w:ascii="Times New Roman" w:hAnsi="Times New Roman"/>
          <w:sz w:val="24"/>
          <w:szCs w:val="24"/>
        </w:rPr>
        <w:t xml:space="preserve">. Ces menaces induisent aussi l’érosion génétique du genre, plus ou moins forte selon les régions. La multiplicité des usages qu’offrent ces espèces constitue un foyer potentiel de conflits entre acteurs, populations et industriels. Si les gestionnaires forestiers n’impliquent pas les populations locales (gestion inclusive) et ne respectent pas leurs droits sociaux de base et droits d’usages forestiers (e.g., la pharmacopée et la collecte des chenilles) des PAF viables ne sont pas possibles. </w:t>
      </w:r>
    </w:p>
    <w:p w:rsidR="003A53F7" w:rsidRDefault="00670B5E">
      <w:pPr>
        <w:pStyle w:val="CorpsA"/>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Par ailleurs, les impacts environnementaux causés par l’écrémage des populations d’</w:t>
      </w:r>
      <w:r>
        <w:rPr>
          <w:rStyle w:val="AucunA"/>
          <w:rFonts w:ascii="Times New Roman" w:hAnsi="Times New Roman"/>
          <w:i/>
          <w:iCs/>
          <w:sz w:val="24"/>
          <w:szCs w:val="24"/>
        </w:rPr>
        <w:t xml:space="preserve">Entandrophragma </w:t>
      </w:r>
      <w:r>
        <w:rPr>
          <w:rStyle w:val="AucunA"/>
          <w:rFonts w:ascii="Times New Roman" w:hAnsi="Times New Roman"/>
          <w:sz w:val="24"/>
          <w:szCs w:val="24"/>
        </w:rPr>
        <w:t xml:space="preserve">demeurent peu documentés concernant l’usage industriel et </w:t>
      </w:r>
      <w:r>
        <w:rPr>
          <w:rStyle w:val="AucunA"/>
          <w:rFonts w:ascii="Times New Roman" w:hAnsi="Times New Roman"/>
          <w:sz w:val="24"/>
          <w:szCs w:val="24"/>
        </w:rPr>
        <w:lastRenderedPageBreak/>
        <w:t>presqu’ignorés concernant l’usage artisanal. Cet état des choses amplifie la remise en question de la durabilité de ces ressources forestières. En effet, les outils de gestion susceptibles d’atténuer cette situation doivent être analysés dans une vision globale et interactive en vue de garantir leur durabilité. Il s’agit de la réglementation et/ou l’amélioration de l’exploitation industrielle et artisanale (e.g., la réglementation sur les DME et le contrôle effectif du secteur artisanal), la valorisation du stockage de carbone (e.g., le reboisement) et l’amélioration de l’implication des populations locales en privilégiant la gestion inclusive dans la valorisation de la pharmacopée traditionnelle, la collecte des chenilles, la politique (et les actions) de reboisement, etc. Les études scientifiques qui permettraient de renforcer les orientations et les mesures de gestion des essences commerciales d’</w:t>
      </w:r>
      <w:r>
        <w:rPr>
          <w:rStyle w:val="AucunA"/>
          <w:rFonts w:ascii="Times New Roman" w:hAnsi="Times New Roman"/>
          <w:i/>
          <w:iCs/>
          <w:sz w:val="24"/>
          <w:szCs w:val="24"/>
        </w:rPr>
        <w:t>Entandrophragma</w:t>
      </w:r>
      <w:r>
        <w:rPr>
          <w:rStyle w:val="AucunA"/>
          <w:rFonts w:ascii="Times New Roman" w:hAnsi="Times New Roman"/>
          <w:sz w:val="24"/>
          <w:szCs w:val="24"/>
        </w:rPr>
        <w:t xml:space="preserve"> demeurent encore fragmentaires et ne couvrent pas toute l’aire de répartition du genre. A titre d’exemple, en RDC, où l’on retrouve la plus grande diversité d’espèces d’</w:t>
      </w:r>
      <w:r>
        <w:rPr>
          <w:rStyle w:val="AucunA"/>
          <w:rFonts w:ascii="Times New Roman" w:hAnsi="Times New Roman"/>
          <w:i/>
          <w:iCs/>
          <w:sz w:val="24"/>
          <w:szCs w:val="24"/>
        </w:rPr>
        <w:t>Entandrophragma</w:t>
      </w:r>
      <w:r>
        <w:rPr>
          <w:rStyle w:val="AucunA"/>
          <w:rFonts w:ascii="Times New Roman" w:hAnsi="Times New Roman"/>
          <w:sz w:val="24"/>
          <w:szCs w:val="24"/>
        </w:rPr>
        <w:t xml:space="preserve"> et où les principales espèces sont exploitées industriellement et artisanalement, très peu d’études scientifiques récentes y ont été entreprises. Plusieurs thématiques devraient faire l’objet d’études approfondies afin d’améliorer la gestion durable de ces espèces et d’actualiser leur statut de conservation (actuellement reconnu comme « vulnérable ») en fonction de leurs zones géographiques. Pour y parvenir, il y a né</w:t>
      </w:r>
      <w:r>
        <w:rPr>
          <w:rStyle w:val="AucunA"/>
          <w:rFonts w:ascii="Times New Roman" w:hAnsi="Times New Roman"/>
          <w:sz w:val="24"/>
          <w:szCs w:val="24"/>
          <w:lang w:val="it-IT"/>
        </w:rPr>
        <w:t>cessit</w:t>
      </w:r>
      <w:r>
        <w:rPr>
          <w:rStyle w:val="AucunA"/>
          <w:rFonts w:ascii="Times New Roman" w:hAnsi="Times New Roman"/>
          <w:sz w:val="24"/>
          <w:szCs w:val="24"/>
        </w:rPr>
        <w:t>é d’améliorer les connaissances entre autres sur :</w:t>
      </w:r>
    </w:p>
    <w:p w:rsidR="003A53F7" w:rsidRDefault="00670B5E">
      <w:pPr>
        <w:pStyle w:val="ListParagraph"/>
        <w:numPr>
          <w:ilvl w:val="0"/>
          <w:numId w:val="11"/>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l’évolution de la dynamique de croissance face aux changements climatiques (e.g., au travers de la dendrochronologie et des analyses d’isotopes stables) ;</w:t>
      </w:r>
    </w:p>
    <w:p w:rsidR="003A53F7" w:rsidRDefault="00670B5E">
      <w:pPr>
        <w:pStyle w:val="ListParagraph"/>
        <w:numPr>
          <w:ilvl w:val="0"/>
          <w:numId w:val="11"/>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les processus impliqués dans la régénération naturelle des espèces, notamment dans les zones exploitées ;</w:t>
      </w:r>
    </w:p>
    <w:p w:rsidR="003A53F7" w:rsidRDefault="00670B5E">
      <w:pPr>
        <w:pStyle w:val="ListParagraph"/>
        <w:numPr>
          <w:ilvl w:val="0"/>
          <w:numId w:val="11"/>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la variabilité anatomique et technologique intra et/ou interspécifique ; </w:t>
      </w:r>
    </w:p>
    <w:p w:rsidR="003A53F7" w:rsidRDefault="00670B5E">
      <w:pPr>
        <w:pStyle w:val="ListParagraph"/>
        <w:numPr>
          <w:ilvl w:val="0"/>
          <w:numId w:val="11"/>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les impacts des activités humaines (exploitation industrielle et artisanale) et environnementales (e.g., les changements climatiques) ; </w:t>
      </w:r>
    </w:p>
    <w:p w:rsidR="003A53F7" w:rsidRDefault="00670B5E">
      <w:pPr>
        <w:pStyle w:val="ListParagraph"/>
        <w:numPr>
          <w:ilvl w:val="0"/>
          <w:numId w:val="11"/>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l’évaluation ou l’évolution des stocks de production, biomasse et carbone.</w:t>
      </w:r>
    </w:p>
    <w:p w:rsidR="003A53F7" w:rsidRDefault="003A53F7">
      <w:pPr>
        <w:pStyle w:val="CorpsB"/>
        <w:rPr>
          <w:b/>
          <w:bCs/>
          <w:lang w:val="fr-FR"/>
        </w:rPr>
      </w:pPr>
    </w:p>
    <w:p w:rsidR="003A53F7" w:rsidRDefault="00670B5E">
      <w:pPr>
        <w:pStyle w:val="CorpsB"/>
        <w:rPr>
          <w:rStyle w:val="AucunA"/>
          <w:b/>
          <w:bCs/>
        </w:rPr>
      </w:pPr>
      <w:r>
        <w:rPr>
          <w:rStyle w:val="AucunA"/>
          <w:b/>
          <w:bCs/>
        </w:rPr>
        <w:t>Remerciements</w:t>
      </w:r>
    </w:p>
    <w:p w:rsidR="003A53F7" w:rsidRDefault="003A53F7">
      <w:pPr>
        <w:pStyle w:val="Corps"/>
        <w:suppressAutoHyphens/>
        <w:spacing w:line="480" w:lineRule="auto"/>
        <w:jc w:val="both"/>
        <w:rPr>
          <w:rStyle w:val="AucunA"/>
          <w:sz w:val="22"/>
          <w:szCs w:val="22"/>
          <w:shd w:val="clear" w:color="auto" w:fill="FFFFFF"/>
        </w:rPr>
      </w:pPr>
    </w:p>
    <w:p w:rsidR="003A53F7" w:rsidRDefault="00670B5E">
      <w:pPr>
        <w:pStyle w:val="Corps"/>
        <w:suppressAutoHyphens/>
        <w:spacing w:line="480" w:lineRule="auto"/>
        <w:jc w:val="both"/>
        <w:rPr>
          <w:rStyle w:val="AucunA"/>
          <w:sz w:val="22"/>
          <w:szCs w:val="22"/>
          <w:shd w:val="clear" w:color="auto" w:fill="FFFFFF"/>
        </w:rPr>
      </w:pPr>
      <w:r>
        <w:rPr>
          <w:rStyle w:val="AucunA"/>
          <w:sz w:val="22"/>
          <w:szCs w:val="22"/>
          <w:shd w:val="clear" w:color="auto" w:fill="FFFFFF"/>
        </w:rPr>
        <w:t xml:space="preserve">Les auteurs remercient l’Union Européenne pour l’assistance financière à cette étude à travers le projet « FCCC », mis en œuvre par le CIFOR à l’Université de Kisangani et le Musée Royal de l’Afrique Centrale pour la bourse de stage scientifique « ABIC » (2016, 2017, 2018) en Belgique. Ils remercient aussi tous les lecteurs et relecteurs dans l’ombre pour leurs contributions à l’amélioration de la version finale de cet article et tous ceux qui ont apporté une assistance quelconque à la recherche et à la compilation des informations liées à cette publication. </w:t>
      </w:r>
    </w:p>
    <w:p w:rsidR="003A53F7" w:rsidRPr="00F4414F" w:rsidRDefault="00670B5E">
      <w:pPr>
        <w:pStyle w:val="CorpsB"/>
        <w:jc w:val="both"/>
        <w:rPr>
          <w:lang w:val="fr-FR"/>
        </w:rPr>
      </w:pPr>
      <w:r>
        <w:rPr>
          <w:rStyle w:val="AucunA"/>
          <w:rFonts w:ascii="Arial Unicode MS" w:eastAsia="Arial Unicode MS" w:hAnsi="Arial Unicode MS" w:cs="Arial Unicode MS"/>
        </w:rPr>
        <w:br w:type="page"/>
      </w:r>
    </w:p>
    <w:p w:rsidR="003A53F7" w:rsidRDefault="00670B5E">
      <w:pPr>
        <w:pStyle w:val="CorpsA"/>
        <w:suppressAutoHyphens/>
        <w:spacing w:after="0" w:line="360" w:lineRule="auto"/>
        <w:jc w:val="both"/>
        <w:rPr>
          <w:rStyle w:val="AucunA"/>
          <w:rFonts w:ascii="Times New Roman" w:eastAsia="Times New Roman" w:hAnsi="Times New Roman" w:cs="Times New Roman"/>
          <w:b/>
          <w:bCs/>
          <w:sz w:val="24"/>
          <w:szCs w:val="24"/>
        </w:rPr>
      </w:pPr>
      <w:r>
        <w:rPr>
          <w:rStyle w:val="AucunA"/>
          <w:rFonts w:ascii="Times New Roman" w:hAnsi="Times New Roman"/>
          <w:b/>
          <w:bCs/>
          <w:sz w:val="24"/>
          <w:szCs w:val="24"/>
        </w:rPr>
        <w:lastRenderedPageBreak/>
        <w:t>Références bibliographiques</w:t>
      </w:r>
    </w:p>
    <w:p w:rsidR="003A53F7" w:rsidRDefault="003A53F7">
      <w:pPr>
        <w:pStyle w:val="CorpsA"/>
        <w:suppressAutoHyphens/>
        <w:spacing w:after="0" w:line="360" w:lineRule="auto"/>
        <w:jc w:val="both"/>
        <w:rPr>
          <w:rFonts w:ascii="Times New Roman" w:eastAsia="Times New Roman" w:hAnsi="Times New Roman" w:cs="Times New Roman"/>
          <w:b/>
          <w:bCs/>
          <w:sz w:val="24"/>
          <w:szCs w:val="24"/>
        </w:rPr>
      </w:pPr>
    </w:p>
    <w:p w:rsidR="003A53F7" w:rsidRDefault="00670B5E">
      <w:pPr>
        <w:pStyle w:val="CorpsA"/>
        <w:numPr>
          <w:ilvl w:val="0"/>
          <w:numId w:val="13"/>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Adler D., 1989. Natural forest increment, growth and yield. </w:t>
      </w:r>
      <w:r>
        <w:rPr>
          <w:rStyle w:val="AucunA"/>
          <w:rFonts w:ascii="Times New Roman" w:hAnsi="Times New Roman"/>
          <w:sz w:val="24"/>
          <w:szCs w:val="24"/>
          <w:lang w:val="nl-NL"/>
        </w:rPr>
        <w:t xml:space="preserve">In: Wong J.L.G., Dunnr. </w:t>
      </w:r>
      <w:r>
        <w:rPr>
          <w:rStyle w:val="AucunA"/>
          <w:rFonts w:ascii="Times New Roman" w:hAnsi="Times New Roman"/>
          <w:sz w:val="24"/>
          <w:szCs w:val="24"/>
          <w:lang w:val="en-US"/>
        </w:rPr>
        <w:t>M., ed. 1989. Ghana forest inventory project seminar proceedings. Overseas Development Administration (UK)/Ghana Forestry Department, p. 47-52.</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Alexandre, D.-Y., 1982. Aspects de la régénération  naturelle en forêt dense de Côte-d’Ivoire. </w:t>
      </w:r>
      <w:r>
        <w:rPr>
          <w:rStyle w:val="AucunA"/>
          <w:rFonts w:ascii="Times New Roman" w:hAnsi="Times New Roman"/>
          <w:i/>
          <w:iCs/>
          <w:sz w:val="24"/>
          <w:szCs w:val="24"/>
        </w:rPr>
        <w:t>Candollea,</w:t>
      </w:r>
      <w:r>
        <w:rPr>
          <w:rStyle w:val="AucunA"/>
          <w:rFonts w:ascii="Times New Roman" w:hAnsi="Times New Roman"/>
          <w:sz w:val="24"/>
          <w:szCs w:val="24"/>
        </w:rPr>
        <w:t xml:space="preserve"> 37: 579-588.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Arnaud J.-C., Sournia G., 1979. Les forêts de Côte-d'Ivoire : une richesse naturelle en voie de disparition. </w:t>
      </w:r>
      <w:r>
        <w:rPr>
          <w:rStyle w:val="AucunA"/>
          <w:rFonts w:ascii="Times New Roman" w:hAnsi="Times New Roman"/>
          <w:i/>
          <w:iCs/>
          <w:sz w:val="24"/>
          <w:szCs w:val="24"/>
        </w:rPr>
        <w:t>In</w:t>
      </w:r>
      <w:r>
        <w:rPr>
          <w:rStyle w:val="AucunA"/>
          <w:rFonts w:ascii="Times New Roman" w:hAnsi="Times New Roman"/>
          <w:sz w:val="24"/>
          <w:szCs w:val="24"/>
        </w:rPr>
        <w:t xml:space="preserve">: Cahiers d'outre-mer. N° 127 - 32e année, pp. 281-301. </w:t>
      </w:r>
    </w:p>
    <w:p w:rsidR="003A53F7" w:rsidRDefault="00670B5E">
      <w:pPr>
        <w:pStyle w:val="CorpsA"/>
        <w:suppressAutoHyphens/>
        <w:spacing w:after="0" w:line="480" w:lineRule="auto"/>
        <w:ind w:left="720"/>
        <w:jc w:val="both"/>
        <w:rPr>
          <w:rStyle w:val="AucunA"/>
          <w:rFonts w:ascii="Times New Roman" w:eastAsia="Times New Roman" w:hAnsi="Times New Roman" w:cs="Times New Roman"/>
          <w:sz w:val="24"/>
          <w:szCs w:val="24"/>
        </w:rPr>
      </w:pPr>
      <w:r>
        <w:rPr>
          <w:rStyle w:val="AucunA"/>
          <w:rFonts w:ascii="Times New Roman" w:hAnsi="Times New Roman"/>
          <w:sz w:val="24"/>
          <w:szCs w:val="24"/>
        </w:rPr>
        <w:t>[</w:t>
      </w:r>
      <w:hyperlink r:id="rId21" w:history="1">
        <w:r>
          <w:rPr>
            <w:rStyle w:val="Hyperlink8"/>
            <w:rFonts w:eastAsia="Calibri"/>
          </w:rPr>
          <w:t>http://www.persee.fr/doc/caoum_0373-5834_1979_num_32_127_2908</w:t>
        </w:r>
      </w:hyperlink>
      <w:r>
        <w:rPr>
          <w:rStyle w:val="AucunA"/>
          <w:rFonts w:ascii="Times New Roman" w:hAnsi="Times New Roman"/>
          <w:sz w:val="24"/>
          <w:szCs w:val="24"/>
        </w:rPr>
        <w:t xml:space="preserve"> ]</w:t>
      </w:r>
    </w:p>
    <w:p w:rsidR="003A53F7" w:rsidRDefault="00670B5E">
      <w:pPr>
        <w:pStyle w:val="CorpsAA"/>
        <w:numPr>
          <w:ilvl w:val="0"/>
          <w:numId w:val="14"/>
        </w:numPr>
        <w:suppressAutoHyphens/>
        <w:spacing w:after="0" w:line="480" w:lineRule="auto"/>
        <w:jc w:val="both"/>
        <w:rPr>
          <w:rStyle w:val="AucunA"/>
          <w:rFonts w:ascii="Times New Roman" w:eastAsia="Times New Roman" w:hAnsi="Times New Roman" w:cs="Times New Roman"/>
          <w:sz w:val="24"/>
          <w:szCs w:val="24"/>
          <w:lang w:val="es-ES_tradnl"/>
        </w:rPr>
      </w:pPr>
      <w:r>
        <w:rPr>
          <w:rStyle w:val="AucunA"/>
          <w:rFonts w:ascii="Times New Roman" w:hAnsi="Times New Roman"/>
          <w:sz w:val="24"/>
          <w:szCs w:val="24"/>
          <w:lang w:val="es-ES_tradnl"/>
        </w:rPr>
        <w:t xml:space="preserve">Banak L.N., Beeckman H., Gasson P.E., 2008. </w:t>
      </w:r>
      <w:r>
        <w:rPr>
          <w:rStyle w:val="AucunAA"/>
          <w:rFonts w:ascii="Times New Roman" w:hAnsi="Times New Roman"/>
          <w:sz w:val="24"/>
          <w:szCs w:val="24"/>
        </w:rPr>
        <w:t xml:space="preserve">Lemmens R.H.M.J., 2008. </w:t>
      </w:r>
      <w:r>
        <w:rPr>
          <w:rStyle w:val="AucunA"/>
          <w:rFonts w:ascii="Times New Roman" w:hAnsi="Times New Roman"/>
          <w:i/>
          <w:iCs/>
          <w:sz w:val="24"/>
          <w:szCs w:val="24"/>
        </w:rPr>
        <w:t>Entandrophragma excelsum</w:t>
      </w:r>
      <w:r>
        <w:rPr>
          <w:rStyle w:val="AucunAA"/>
          <w:rFonts w:ascii="Times New Roman" w:hAnsi="Times New Roman"/>
          <w:sz w:val="24"/>
          <w:szCs w:val="24"/>
        </w:rPr>
        <w:t xml:space="preserve"> (Dawe &amp; Sprague) Sprague. </w:t>
      </w:r>
      <w:r>
        <w:rPr>
          <w:rStyle w:val="AucunA"/>
          <w:rFonts w:ascii="Times New Roman" w:hAnsi="Times New Roman"/>
          <w:i/>
          <w:iCs/>
          <w:sz w:val="24"/>
          <w:szCs w:val="24"/>
        </w:rPr>
        <w:t>In</w:t>
      </w:r>
      <w:r>
        <w:rPr>
          <w:rStyle w:val="AucunAA"/>
          <w:rFonts w:ascii="Times New Roman" w:hAnsi="Times New Roman"/>
          <w:sz w:val="24"/>
          <w:szCs w:val="24"/>
        </w:rPr>
        <w:t xml:space="preserve">: Louppe, D., Oteng-Amoako, A.A., Brink, M., éds. Prota 7(1): Timbers/Bois d’œuvre 1. [CD-Rom]. PROTA, Wageningen, Pays-Bas.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s-ES_tradnl"/>
        </w:rPr>
      </w:pPr>
      <w:r>
        <w:rPr>
          <w:rStyle w:val="AucunA"/>
          <w:rFonts w:ascii="Times New Roman" w:hAnsi="Times New Roman"/>
          <w:sz w:val="24"/>
          <w:szCs w:val="24"/>
          <w:lang w:val="es-ES_tradnl"/>
        </w:rPr>
        <w:t>Bayol N., Demarquez B., de Wasseige C., Eba</w:t>
      </w:r>
      <w:r>
        <w:rPr>
          <w:rStyle w:val="AucunAA"/>
          <w:rFonts w:ascii="Times New Roman" w:hAnsi="Times New Roman"/>
          <w:sz w:val="24"/>
          <w:szCs w:val="24"/>
        </w:rPr>
        <w:t xml:space="preserve">’a R., Fisher J.-F., Nasi R., </w:t>
      </w:r>
      <w:r>
        <w:rPr>
          <w:rStyle w:val="AucunA"/>
          <w:rFonts w:ascii="Times New Roman" w:hAnsi="Times New Roman"/>
          <w:i/>
          <w:iCs/>
          <w:sz w:val="24"/>
          <w:szCs w:val="24"/>
        </w:rPr>
        <w:t>et al.</w:t>
      </w:r>
      <w:r>
        <w:rPr>
          <w:rStyle w:val="AucunAA"/>
          <w:rFonts w:ascii="Times New Roman" w:hAnsi="Times New Roman"/>
          <w:sz w:val="24"/>
          <w:szCs w:val="24"/>
        </w:rPr>
        <w:t xml:space="preserve">, 2012. La gestion des forêts et la filière bois en Afrique Centrale. </w:t>
      </w:r>
      <w:r>
        <w:rPr>
          <w:rStyle w:val="AucunA"/>
          <w:rFonts w:ascii="Times New Roman" w:hAnsi="Times New Roman"/>
          <w:i/>
          <w:iCs/>
          <w:sz w:val="24"/>
          <w:szCs w:val="24"/>
        </w:rPr>
        <w:t>In</w:t>
      </w:r>
      <w:r>
        <w:rPr>
          <w:rStyle w:val="AucunAA"/>
          <w:rFonts w:ascii="Times New Roman" w:hAnsi="Times New Roman"/>
          <w:sz w:val="24"/>
          <w:szCs w:val="24"/>
        </w:rPr>
        <w:t xml:space="preserve">: de Wasseige C., de Marcken P., Bayol N., Hiol Hiol F., Mayaux P., Desclée B., </w:t>
      </w:r>
      <w:r>
        <w:rPr>
          <w:rStyle w:val="AucunA"/>
          <w:rFonts w:ascii="Times New Roman" w:hAnsi="Times New Roman"/>
          <w:i/>
          <w:iCs/>
          <w:sz w:val="24"/>
          <w:szCs w:val="24"/>
        </w:rPr>
        <w:t>et al.</w:t>
      </w:r>
      <w:r>
        <w:rPr>
          <w:rStyle w:val="AucunAA"/>
          <w:rFonts w:ascii="Times New Roman" w:hAnsi="Times New Roman"/>
          <w:sz w:val="24"/>
          <w:szCs w:val="24"/>
        </w:rPr>
        <w:t>, é</w:t>
      </w:r>
      <w:r>
        <w:rPr>
          <w:rStyle w:val="AucunA"/>
          <w:rFonts w:ascii="Times New Roman" w:hAnsi="Times New Roman"/>
          <w:sz w:val="24"/>
          <w:szCs w:val="24"/>
          <w:lang w:val="pt-PT"/>
        </w:rPr>
        <w:t xml:space="preserve">ds. </w:t>
      </w:r>
      <w:r w:rsidR="003E4122">
        <w:rPr>
          <w:rStyle w:val="AucunAA"/>
          <w:rFonts w:ascii="Times New Roman" w:hAnsi="Times New Roman"/>
          <w:sz w:val="24"/>
          <w:szCs w:val="24"/>
        </w:rPr>
        <w:t>Les Forêts du b</w:t>
      </w:r>
      <w:r>
        <w:rPr>
          <w:rStyle w:val="AucunAA"/>
          <w:rFonts w:ascii="Times New Roman" w:hAnsi="Times New Roman"/>
          <w:sz w:val="24"/>
          <w:szCs w:val="24"/>
        </w:rPr>
        <w:t>assin du Congo – État des Forêts 2010. Luxembourg : Office des Publications de l’Union Européenne.</w:t>
      </w:r>
    </w:p>
    <w:p w:rsidR="003A53F7" w:rsidRDefault="00670B5E">
      <w:pPr>
        <w:pStyle w:val="ListParagraph"/>
        <w:numPr>
          <w:ilvl w:val="0"/>
          <w:numId w:val="14"/>
        </w:numPr>
        <w:spacing w:after="0" w:line="480" w:lineRule="auto"/>
        <w:jc w:val="both"/>
        <w:rPr>
          <w:rStyle w:val="AucunA"/>
          <w:rFonts w:ascii="Times New Roman" w:eastAsia="Times New Roman" w:hAnsi="Times New Roman" w:cs="Times New Roman"/>
          <w:sz w:val="24"/>
          <w:szCs w:val="24"/>
          <w:lang w:val="es-ES_tradnl"/>
        </w:rPr>
      </w:pPr>
      <w:r>
        <w:rPr>
          <w:rStyle w:val="AucunA"/>
          <w:rFonts w:ascii="Times New Roman" w:hAnsi="Times New Roman"/>
          <w:sz w:val="24"/>
          <w:szCs w:val="24"/>
          <w:lang w:val="es-ES_tradnl"/>
        </w:rPr>
        <w:t xml:space="preserve">Bayol N., Anquetil F., Bile C., Bollen A., Bousquet M., Castadot B., </w:t>
      </w:r>
      <w:r>
        <w:rPr>
          <w:rStyle w:val="AucunA"/>
          <w:rFonts w:ascii="Times New Roman" w:hAnsi="Times New Roman"/>
          <w:i/>
          <w:iCs/>
          <w:sz w:val="24"/>
          <w:szCs w:val="24"/>
          <w:lang w:val="es-ES_tradnl"/>
        </w:rPr>
        <w:t>et al.</w:t>
      </w:r>
      <w:r>
        <w:rPr>
          <w:rStyle w:val="AucunA"/>
          <w:rFonts w:ascii="Times New Roman" w:hAnsi="Times New Roman"/>
          <w:sz w:val="24"/>
          <w:szCs w:val="24"/>
          <w:lang w:val="es-ES_tradnl"/>
        </w:rPr>
        <w:t xml:space="preserve">, 2014. La filière bois d’oeuvre et gestión des forêts naturelles: les bois tropicaux et les forêts d’Afrique Centrale face aux évolutions des marchés. </w:t>
      </w:r>
      <w:r>
        <w:rPr>
          <w:rStyle w:val="AucunA"/>
          <w:rFonts w:ascii="Times New Roman" w:hAnsi="Times New Roman"/>
          <w:i/>
          <w:iCs/>
          <w:sz w:val="24"/>
          <w:szCs w:val="24"/>
          <w:lang w:val="es-ES_tradnl"/>
        </w:rPr>
        <w:t>In</w:t>
      </w:r>
      <w:r>
        <w:rPr>
          <w:rStyle w:val="AucunA"/>
          <w:rFonts w:ascii="Times New Roman" w:hAnsi="Times New Roman"/>
          <w:sz w:val="24"/>
          <w:szCs w:val="24"/>
          <w:lang w:val="es-ES_tradnl"/>
        </w:rPr>
        <w:t>: de Wasseige C., Flynn J., Louppe D., Hiol Hiol F., Mayaux Ph., éds. Les Forêts du Bassin du Congo – État des Forêts 2013. Weyrich. Belgique, 328p. ISBN: 978-2-87489-298-1.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s-ES_tradnl"/>
        </w:rPr>
      </w:pPr>
      <w:r>
        <w:rPr>
          <w:rStyle w:val="AucunA"/>
          <w:rFonts w:ascii="Times New Roman" w:hAnsi="Times New Roman"/>
          <w:sz w:val="24"/>
          <w:szCs w:val="24"/>
          <w:lang w:val="es-ES_tradnl"/>
        </w:rPr>
        <w:t>Beeckman H., 2016. Wood anatomy and trait-based ecology. IAWA Journal</w:t>
      </w:r>
      <w:r>
        <w:rPr>
          <w:rStyle w:val="AucunA"/>
          <w:rFonts w:ascii="Times New Roman" w:hAnsi="Times New Roman"/>
          <w:i/>
          <w:iCs/>
          <w:sz w:val="24"/>
          <w:szCs w:val="24"/>
          <w:lang w:val="es-ES_tradnl"/>
        </w:rPr>
        <w:t>,</w:t>
      </w:r>
      <w:r>
        <w:rPr>
          <w:rStyle w:val="AucunA"/>
          <w:rFonts w:ascii="Times New Roman" w:hAnsi="Times New Roman"/>
          <w:sz w:val="24"/>
          <w:szCs w:val="24"/>
          <w:lang w:val="es-ES_tradnl"/>
        </w:rPr>
        <w:t xml:space="preserve"> 37(2): 127-151.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s-ES_tradnl"/>
        </w:rPr>
      </w:pPr>
      <w:r>
        <w:rPr>
          <w:rStyle w:val="AucunA"/>
          <w:rFonts w:ascii="Times New Roman" w:hAnsi="Times New Roman"/>
          <w:sz w:val="24"/>
          <w:szCs w:val="24"/>
          <w:lang w:val="es-ES_tradnl"/>
        </w:rPr>
        <w:lastRenderedPageBreak/>
        <w:t xml:space="preserve">Brazier J.D., </w:t>
      </w:r>
      <w:r>
        <w:rPr>
          <w:rStyle w:val="AucunA"/>
          <w:rFonts w:ascii="Times New Roman" w:hAnsi="Times New Roman"/>
          <w:sz w:val="24"/>
          <w:szCs w:val="24"/>
          <w:lang w:val="de-DE"/>
        </w:rPr>
        <w:t>Franklin</w:t>
      </w:r>
      <w:r>
        <w:rPr>
          <w:rStyle w:val="AucunA"/>
          <w:rFonts w:ascii="Times New Roman" w:hAnsi="Times New Roman"/>
          <w:sz w:val="24"/>
          <w:szCs w:val="24"/>
          <w:lang w:val="es-ES_tradnl"/>
        </w:rPr>
        <w:t xml:space="preserve"> G.L., 1961. Identification of hardwoods. A microscope key</w:t>
      </w:r>
      <w:r>
        <w:rPr>
          <w:rStyle w:val="AucunA"/>
          <w:rFonts w:ascii="Times New Roman" w:hAnsi="Times New Roman"/>
          <w:i/>
          <w:iCs/>
          <w:sz w:val="24"/>
          <w:szCs w:val="24"/>
          <w:lang w:val="es-ES_tradnl"/>
        </w:rPr>
        <w:t>.</w:t>
      </w:r>
      <w:r>
        <w:rPr>
          <w:rStyle w:val="AucunA"/>
          <w:rFonts w:ascii="Times New Roman" w:hAnsi="Times New Roman"/>
          <w:sz w:val="24"/>
          <w:szCs w:val="24"/>
          <w:lang w:val="es-ES_tradnl"/>
        </w:rPr>
        <w:t xml:space="preserve"> Forest Products Research Bulle</w:t>
      </w:r>
      <w:r>
        <w:rPr>
          <w:rStyle w:val="AucunA"/>
          <w:rFonts w:ascii="Times New Roman" w:hAnsi="Times New Roman"/>
          <w:sz w:val="24"/>
          <w:szCs w:val="24"/>
          <w:lang w:val="en-US"/>
        </w:rPr>
        <w:t xml:space="preserve">tin No. 46: 96 </w:t>
      </w:r>
      <w:r>
        <w:rPr>
          <w:rStyle w:val="AucunAA"/>
          <w:rFonts w:ascii="Times New Roman" w:hAnsi="Times New Roman"/>
          <w:sz w:val="24"/>
          <w:szCs w:val="24"/>
        </w:rPr>
        <w:t>pp.</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pt-PT"/>
        </w:rPr>
      </w:pPr>
      <w:r>
        <w:rPr>
          <w:rStyle w:val="AucunA"/>
          <w:rFonts w:ascii="Times New Roman" w:hAnsi="Times New Roman"/>
          <w:sz w:val="24"/>
          <w:szCs w:val="24"/>
          <w:lang w:val="pt-PT"/>
        </w:rPr>
        <w:t>Catinot R., 1965. Sylviculture tropicale en forêt dense africaine. Bois et Forêts des Tropiques : 100, 101, 103, 104.</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pt-PT"/>
        </w:rPr>
      </w:pPr>
      <w:r>
        <w:rPr>
          <w:rStyle w:val="AucunA"/>
          <w:rFonts w:ascii="Times New Roman" w:hAnsi="Times New Roman"/>
          <w:sz w:val="24"/>
          <w:szCs w:val="24"/>
          <w:lang w:val="pt-PT"/>
        </w:rPr>
        <w:t xml:space="preserve">Cerutti P.O., Suryadarma D., Nasi R., Forni E., Medjibe V., Delione S., </w:t>
      </w:r>
      <w:r>
        <w:rPr>
          <w:rStyle w:val="AucunA"/>
          <w:rFonts w:ascii="Times New Roman" w:hAnsi="Times New Roman"/>
          <w:i/>
          <w:iCs/>
          <w:sz w:val="24"/>
          <w:szCs w:val="24"/>
          <w:lang w:val="pt-PT"/>
        </w:rPr>
        <w:t>et al.,</w:t>
      </w:r>
      <w:r>
        <w:rPr>
          <w:rStyle w:val="AucunA"/>
          <w:rFonts w:ascii="Times New Roman" w:hAnsi="Times New Roman"/>
          <w:sz w:val="24"/>
          <w:szCs w:val="24"/>
          <w:lang w:val="pt-PT"/>
        </w:rPr>
        <w:t xml:space="preserve"> 2017. The impact of forest management plans on trees and carbon:Modeling a decade of harvesting data in Cameroon. Journal of Forest Economics</w:t>
      </w:r>
      <w:r>
        <w:rPr>
          <w:rStyle w:val="AucunA"/>
          <w:rFonts w:ascii="Times New Roman" w:hAnsi="Times New Roman"/>
          <w:i/>
          <w:iCs/>
          <w:sz w:val="24"/>
          <w:szCs w:val="24"/>
          <w:lang w:val="pt-PT"/>
        </w:rPr>
        <w:t>,</w:t>
      </w:r>
      <w:r>
        <w:rPr>
          <w:rStyle w:val="AucunA"/>
          <w:rFonts w:ascii="Times New Roman" w:hAnsi="Times New Roman"/>
          <w:sz w:val="24"/>
          <w:szCs w:val="24"/>
          <w:lang w:val="pt-PT"/>
        </w:rPr>
        <w:t xml:space="preserve"> 27: 1-9.</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pt-PT"/>
        </w:rPr>
      </w:pPr>
      <w:r>
        <w:rPr>
          <w:rStyle w:val="AucunA"/>
          <w:rFonts w:ascii="Times New Roman" w:hAnsi="Times New Roman"/>
          <w:sz w:val="24"/>
          <w:szCs w:val="24"/>
          <w:lang w:val="pt-PT"/>
        </w:rPr>
        <w:t>CIRAD (Centre de coopération internationale en recherche agronomique pour le développement), 2015. Les principales caractéristiq</w:t>
      </w:r>
      <w:r>
        <w:rPr>
          <w:rStyle w:val="AucunAA"/>
          <w:rFonts w:ascii="Times New Roman" w:hAnsi="Times New Roman"/>
          <w:sz w:val="24"/>
          <w:szCs w:val="24"/>
        </w:rPr>
        <w:t>ues technologiques de 245 essences forestiè</w:t>
      </w:r>
      <w:r>
        <w:rPr>
          <w:rStyle w:val="AucunA"/>
          <w:rFonts w:ascii="Times New Roman" w:hAnsi="Times New Roman"/>
          <w:sz w:val="24"/>
          <w:szCs w:val="24"/>
          <w:lang w:val="pt-PT"/>
        </w:rPr>
        <w:t>res tropicales.</w:t>
      </w:r>
      <w:r>
        <w:rPr>
          <w:rStyle w:val="AucunAA"/>
          <w:rFonts w:ascii="Times New Roman" w:hAnsi="Times New Roman"/>
          <w:sz w:val="24"/>
          <w:szCs w:val="24"/>
        </w:rPr>
        <w:t xml:space="preserve"> TROPIX 7.5.1.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CITES (Convention pour le commerce international des espèces de faune et flore sauvages menacées d’extinction), 1983. Texte de convention</w:t>
      </w:r>
      <w:r>
        <w:rPr>
          <w:rStyle w:val="AucunA"/>
          <w:rFonts w:ascii="Times New Roman" w:hAnsi="Times New Roman"/>
          <w:sz w:val="24"/>
          <w:szCs w:val="24"/>
          <w:lang w:val="de-DE"/>
        </w:rPr>
        <w:t>. Version amend</w:t>
      </w:r>
      <w:r>
        <w:rPr>
          <w:rStyle w:val="AucunAA"/>
          <w:rFonts w:ascii="Times New Roman" w:hAnsi="Times New Roman"/>
          <w:sz w:val="24"/>
          <w:szCs w:val="24"/>
        </w:rPr>
        <w:t xml:space="preserve">ée à </w:t>
      </w:r>
      <w:r>
        <w:rPr>
          <w:rStyle w:val="AucunA"/>
          <w:rFonts w:ascii="Times New Roman" w:hAnsi="Times New Roman"/>
          <w:sz w:val="24"/>
          <w:szCs w:val="24"/>
          <w:lang w:val="nl-NL"/>
        </w:rPr>
        <w:t xml:space="preserve">Gaberonne. </w:t>
      </w:r>
      <w:hyperlink r:id="rId22" w:history="1">
        <w:r>
          <w:rPr>
            <w:rStyle w:val="Hyperlink9"/>
            <w:rFonts w:ascii="Times New Roman" w:hAnsi="Times New Roman"/>
            <w:sz w:val="24"/>
            <w:szCs w:val="24"/>
          </w:rPr>
          <w:t>https://cites.org/fra/disc/text.php</w:t>
        </w:r>
      </w:hyperlink>
      <w:r>
        <w:rPr>
          <w:rStyle w:val="AucunA"/>
          <w:rFonts w:ascii="Times New Roman" w:hAnsi="Times New Roman"/>
          <w:sz w:val="24"/>
          <w:szCs w:val="24"/>
          <w:lang w:val="it-IT"/>
        </w:rPr>
        <w:t>, (consult</w:t>
      </w:r>
      <w:r>
        <w:rPr>
          <w:rStyle w:val="AucunAA"/>
          <w:rFonts w:ascii="Times New Roman" w:hAnsi="Times New Roman"/>
          <w:sz w:val="24"/>
          <w:szCs w:val="24"/>
        </w:rPr>
        <w:t>ée le 31/05/2017).</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CFT (Compagnie Forestière et de Transformation), 2015. Plan d’aménagement forestier. Superficie sous aménagement. Concessions 46/11 et 47/11. République Démocratique du Congo.</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Couralet C., Sterck F.J., Sass-Klaassen U., Van Acker J., Beeckman H., 2010. Species-Specific Growth Responses to Climate Variations in Understory Trees of a Central African Rain Forest: Climate-Growth Relationships of Understory Trees. Biotropica, 42: 503-511.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Dahms K-G., 1999. </w:t>
      </w:r>
      <w:r>
        <w:rPr>
          <w:rStyle w:val="AucunA"/>
          <w:rFonts w:ascii="Times New Roman" w:hAnsi="Times New Roman"/>
          <w:sz w:val="24"/>
          <w:szCs w:val="24"/>
          <w:lang w:val="de-DE"/>
        </w:rPr>
        <w:t>Afrikanische Exporth</w:t>
      </w:r>
      <w:r>
        <w:rPr>
          <w:rStyle w:val="AucunA"/>
          <w:rFonts w:ascii="Times New Roman" w:hAnsi="Times New Roman"/>
          <w:sz w:val="24"/>
          <w:szCs w:val="24"/>
          <w:lang w:val="nl-NL"/>
        </w:rPr>
        <w:t>ö</w:t>
      </w:r>
      <w:r>
        <w:rPr>
          <w:rStyle w:val="AucunA"/>
          <w:rFonts w:ascii="Times New Roman" w:hAnsi="Times New Roman"/>
          <w:sz w:val="24"/>
          <w:szCs w:val="24"/>
          <w:lang w:val="de-DE"/>
        </w:rPr>
        <w:t>lzer</w:t>
      </w:r>
      <w:r>
        <w:rPr>
          <w:rStyle w:val="AucunA"/>
          <w:rFonts w:ascii="Times New Roman" w:hAnsi="Times New Roman"/>
          <w:sz w:val="24"/>
          <w:szCs w:val="24"/>
          <w:lang w:val="nl-NL"/>
        </w:rPr>
        <w:t xml:space="preserve">. </w:t>
      </w:r>
      <w:r>
        <w:rPr>
          <w:rStyle w:val="AucunA"/>
          <w:rFonts w:ascii="Times New Roman" w:hAnsi="Times New Roman"/>
          <w:sz w:val="24"/>
          <w:szCs w:val="24"/>
          <w:lang w:val="de-DE"/>
        </w:rPr>
        <w:t>3. Auflage. DRW. German.</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Daïnou K., Bracke C., Vermeulen C., Haurez B., De Vleeschouwer J.-Y., Fayolle A., </w:t>
      </w:r>
      <w:r>
        <w:rPr>
          <w:rStyle w:val="AucunA"/>
          <w:rFonts w:ascii="Times New Roman" w:hAnsi="Times New Roman"/>
          <w:i/>
          <w:iCs/>
          <w:sz w:val="24"/>
          <w:szCs w:val="24"/>
          <w:lang w:val="nl-NL"/>
        </w:rPr>
        <w:t>et al.</w:t>
      </w:r>
      <w:r>
        <w:rPr>
          <w:rStyle w:val="AucunA"/>
          <w:rFonts w:ascii="Times New Roman" w:hAnsi="Times New Roman"/>
          <w:sz w:val="24"/>
          <w:szCs w:val="24"/>
          <w:lang w:val="nl-NL"/>
        </w:rPr>
        <w:t xml:space="preserve">, 2016. </w:t>
      </w:r>
      <w:r>
        <w:rPr>
          <w:rStyle w:val="AucunAA"/>
          <w:rFonts w:ascii="Times New Roman" w:hAnsi="Times New Roman"/>
          <w:sz w:val="24"/>
          <w:szCs w:val="24"/>
        </w:rPr>
        <w:t>Hautes Valeurs de Conservation (HVC) dans les Unité</w:t>
      </w:r>
      <w:r>
        <w:rPr>
          <w:rStyle w:val="AucunA"/>
          <w:rFonts w:ascii="Times New Roman" w:hAnsi="Times New Roman"/>
          <w:sz w:val="24"/>
          <w:szCs w:val="24"/>
          <w:lang w:val="da-DK"/>
        </w:rPr>
        <w:t>s Foresti</w:t>
      </w:r>
      <w:r>
        <w:rPr>
          <w:rStyle w:val="AucunAA"/>
          <w:rFonts w:ascii="Times New Roman" w:hAnsi="Times New Roman"/>
          <w:sz w:val="24"/>
          <w:szCs w:val="24"/>
        </w:rPr>
        <w:t>ères d’Aménagement du Cameroun : concepts, choix et pratiques. Presses agronomiques de Gembloux, Belgique.</w:t>
      </w:r>
    </w:p>
    <w:p w:rsidR="00ED0751" w:rsidRPr="009705C5" w:rsidRDefault="000148A8">
      <w:pPr>
        <w:pStyle w:val="CorpsA"/>
        <w:numPr>
          <w:ilvl w:val="0"/>
          <w:numId w:val="14"/>
        </w:numPr>
        <w:suppressAutoHyphens/>
        <w:spacing w:after="0" w:line="480" w:lineRule="auto"/>
        <w:jc w:val="both"/>
        <w:rPr>
          <w:rStyle w:val="AucunAA"/>
          <w:rFonts w:ascii="Times New Roman" w:eastAsia="Times New Roman" w:hAnsi="Times New Roman" w:cs="Times New Roman"/>
          <w:sz w:val="24"/>
          <w:szCs w:val="24"/>
          <w:lang w:val="en-US"/>
        </w:rPr>
      </w:pPr>
      <w:r w:rsidRPr="003457F0">
        <w:rPr>
          <w:rStyle w:val="AucunA"/>
          <w:rFonts w:ascii="Times New Roman" w:hAnsi="Times New Roman"/>
          <w:sz w:val="24"/>
          <w:szCs w:val="24"/>
          <w:lang w:val="en-US"/>
        </w:rPr>
        <w:lastRenderedPageBreak/>
        <w:t xml:space="preserve">Dauby G., Zaiss R., Blach-Overgaard A., Catarino L., Damen T., et </w:t>
      </w:r>
      <w:r w:rsidRPr="003457F0">
        <w:rPr>
          <w:rStyle w:val="AucunA"/>
          <w:rFonts w:ascii="Times New Roman" w:hAnsi="Times New Roman"/>
          <w:i/>
          <w:sz w:val="24"/>
          <w:szCs w:val="24"/>
          <w:lang w:val="en-US"/>
        </w:rPr>
        <w:t>al.</w:t>
      </w:r>
      <w:r w:rsidR="009705C5" w:rsidRPr="003457F0">
        <w:rPr>
          <w:rStyle w:val="AucunA"/>
          <w:rFonts w:ascii="Times New Roman" w:hAnsi="Times New Roman"/>
          <w:sz w:val="24"/>
          <w:szCs w:val="24"/>
          <w:lang w:val="en-US"/>
        </w:rPr>
        <w:t xml:space="preserve">, 2016. </w:t>
      </w:r>
      <w:r w:rsidR="009705C5" w:rsidRPr="009705C5">
        <w:rPr>
          <w:rStyle w:val="AucunA"/>
          <w:rFonts w:ascii="Times New Roman" w:hAnsi="Times New Roman"/>
          <w:sz w:val="24"/>
          <w:szCs w:val="24"/>
          <w:lang w:val="en-US"/>
        </w:rPr>
        <w:t xml:space="preserve">RAINBIO: a mega-database of tropical African vascular plants distributions. </w:t>
      </w:r>
      <w:r w:rsidR="009705C5">
        <w:rPr>
          <w:rStyle w:val="AucunA"/>
          <w:rFonts w:ascii="Times New Roman" w:hAnsi="Times New Roman"/>
          <w:sz w:val="24"/>
          <w:szCs w:val="24"/>
          <w:lang w:val="en-US"/>
        </w:rPr>
        <w:t>PhytoKeys, 74: 1-18.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Détienne P., Mariaux A., 1977. Nature et pé</w:t>
      </w:r>
      <w:r>
        <w:rPr>
          <w:rStyle w:val="AucunA"/>
          <w:rFonts w:ascii="Times New Roman" w:hAnsi="Times New Roman"/>
          <w:sz w:val="24"/>
          <w:szCs w:val="24"/>
          <w:lang w:val="it-IT"/>
        </w:rPr>
        <w:t>riodicit</w:t>
      </w:r>
      <w:r>
        <w:rPr>
          <w:rStyle w:val="AucunAA"/>
          <w:rFonts w:ascii="Times New Roman" w:hAnsi="Times New Roman"/>
          <w:sz w:val="24"/>
          <w:szCs w:val="24"/>
        </w:rPr>
        <w:t>é des cernes dans les bois rouges de Méliacées africaines. Bois et Forêts des Tropiques,</w:t>
      </w:r>
      <w:r>
        <w:rPr>
          <w:rStyle w:val="AucunA"/>
          <w:rFonts w:ascii="Times New Roman" w:hAnsi="Times New Roman"/>
          <w:i/>
          <w:iCs/>
          <w:sz w:val="24"/>
          <w:szCs w:val="24"/>
        </w:rPr>
        <w:t xml:space="preserve"> </w:t>
      </w:r>
      <w:r>
        <w:rPr>
          <w:rStyle w:val="AucunAA"/>
          <w:rFonts w:ascii="Times New Roman" w:hAnsi="Times New Roman"/>
          <w:sz w:val="24"/>
          <w:szCs w:val="24"/>
        </w:rPr>
        <w:t>175: 52-61.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Détienne P., Oyono F., Durrieu L., Demarquez B., Nasi R., 1998. L'analyse des cernes: applications aux études de croissance de quelques essences en peuplements naturels de forêt dense africaine. CIRAD-Forêt, Montpellier, France.</w:t>
      </w:r>
    </w:p>
    <w:p w:rsidR="003A53F7" w:rsidRPr="00415B5C" w:rsidRDefault="00670B5E">
      <w:pPr>
        <w:pStyle w:val="CorpsA"/>
        <w:numPr>
          <w:ilvl w:val="0"/>
          <w:numId w:val="14"/>
        </w:numPr>
        <w:suppressAutoHyphens/>
        <w:spacing w:after="0" w:line="480" w:lineRule="auto"/>
        <w:rPr>
          <w:rStyle w:val="AucunA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Dibong S.D., Mpondo E., Ngoye A., Kwin M.F., 2011. </w:t>
      </w:r>
      <w:r>
        <w:rPr>
          <w:rStyle w:val="AucunA"/>
          <w:rFonts w:ascii="Times New Roman" w:hAnsi="Times New Roman"/>
          <w:sz w:val="24"/>
          <w:szCs w:val="24"/>
          <w:lang w:val="pt-PT"/>
        </w:rPr>
        <w:t>Plantes m</w:t>
      </w:r>
      <w:r>
        <w:rPr>
          <w:rStyle w:val="AucunAA"/>
          <w:rFonts w:ascii="Times New Roman" w:hAnsi="Times New Roman"/>
          <w:sz w:val="24"/>
          <w:szCs w:val="24"/>
        </w:rPr>
        <w:t>é</w:t>
      </w:r>
      <w:r>
        <w:rPr>
          <w:rStyle w:val="AucunA"/>
          <w:rFonts w:ascii="Times New Roman" w:hAnsi="Times New Roman"/>
          <w:sz w:val="24"/>
          <w:szCs w:val="24"/>
          <w:lang w:val="es-ES_tradnl"/>
        </w:rPr>
        <w:t>dicinales utilis</w:t>
      </w:r>
      <w:r>
        <w:rPr>
          <w:rStyle w:val="AucunAA"/>
          <w:rFonts w:ascii="Times New Roman" w:hAnsi="Times New Roman"/>
          <w:sz w:val="24"/>
          <w:szCs w:val="24"/>
        </w:rPr>
        <w:t>ées par les populations Bassa de la région de Douala au Cameroun. International Journal of Biological and  Chemical Sciences, 5: 1105-1117.</w:t>
      </w:r>
    </w:p>
    <w:p w:rsidR="00415B5C" w:rsidRDefault="00415B5C">
      <w:pPr>
        <w:pStyle w:val="CorpsA"/>
        <w:numPr>
          <w:ilvl w:val="0"/>
          <w:numId w:val="14"/>
        </w:numPr>
        <w:suppressAutoHyphens/>
        <w:spacing w:after="0" w:line="480" w:lineRule="auto"/>
        <w:rPr>
          <w:rStyle w:val="AucunA"/>
          <w:rFonts w:ascii="Times New Roman" w:eastAsia="Times New Roman" w:hAnsi="Times New Roman" w:cs="Times New Roman"/>
          <w:sz w:val="24"/>
          <w:szCs w:val="24"/>
          <w:lang w:val="en-US"/>
        </w:rPr>
      </w:pPr>
      <w:r w:rsidRPr="00415B5C">
        <w:rPr>
          <w:rStyle w:val="AucunAA"/>
          <w:rFonts w:ascii="Times New Roman" w:hAnsi="Times New Roman"/>
          <w:sz w:val="24"/>
          <w:szCs w:val="24"/>
          <w:lang w:val="en-US"/>
        </w:rPr>
        <w:t>Dié A., Kitin P., N’Guessan Kouamé F.,</w:t>
      </w:r>
      <w:r>
        <w:rPr>
          <w:rStyle w:val="AucunAA"/>
          <w:rFonts w:ascii="Times New Roman" w:hAnsi="Times New Roman"/>
          <w:sz w:val="24"/>
          <w:szCs w:val="24"/>
          <w:lang w:val="en-US"/>
        </w:rPr>
        <w:t xml:space="preserve"> Van den Bulcke J., Van Acker J., Beeckman H., 2002. Fluctuations of cambial activity in relation to precipitation result in annual rings and intra-annual growth zones of xylem and phloem in teak (</w:t>
      </w:r>
      <w:r w:rsidRPr="00415B5C">
        <w:rPr>
          <w:rStyle w:val="AucunAA"/>
          <w:rFonts w:ascii="Times New Roman" w:hAnsi="Times New Roman"/>
          <w:i/>
          <w:sz w:val="24"/>
          <w:szCs w:val="24"/>
          <w:lang w:val="en-US"/>
        </w:rPr>
        <w:t>Tectona grandis</w:t>
      </w:r>
      <w:r>
        <w:rPr>
          <w:rStyle w:val="AucunAA"/>
          <w:rFonts w:ascii="Times New Roman" w:hAnsi="Times New Roman"/>
          <w:sz w:val="24"/>
          <w:szCs w:val="24"/>
          <w:lang w:val="en-US"/>
        </w:rPr>
        <w:t>) in Ivory Coast. Annals of Botany, 110(4): 861-873.</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Doucet J-L., Daïnou K., Ligot G., Ouédraogo D-Y., Bourland N., Ward S-E., </w:t>
      </w:r>
      <w:r>
        <w:rPr>
          <w:rStyle w:val="AucunA"/>
          <w:rFonts w:ascii="Times New Roman" w:hAnsi="Times New Roman"/>
          <w:i/>
          <w:iCs/>
          <w:sz w:val="24"/>
          <w:szCs w:val="24"/>
          <w:lang w:val="en-US"/>
        </w:rPr>
        <w:t>et al.</w:t>
      </w:r>
      <w:r>
        <w:rPr>
          <w:rStyle w:val="AucunA"/>
          <w:rFonts w:ascii="Times New Roman" w:hAnsi="Times New Roman"/>
          <w:sz w:val="24"/>
          <w:szCs w:val="24"/>
          <w:lang w:val="en-US"/>
        </w:rPr>
        <w:t>, 2016. Enrichment of Central African logged forests with high-value tree species: testing a new approach to regenerating degraded forests. International Journal of Biodiversity Science, Ecosystem Services and Management</w:t>
      </w:r>
      <w:r>
        <w:rPr>
          <w:rStyle w:val="AucunA"/>
          <w:rFonts w:ascii="Times New Roman" w:hAnsi="Times New Roman"/>
          <w:i/>
          <w:iCs/>
          <w:sz w:val="24"/>
          <w:szCs w:val="24"/>
          <w:lang w:val="en-US"/>
        </w:rPr>
        <w:t xml:space="preserve">, </w:t>
      </w:r>
      <w:r>
        <w:rPr>
          <w:rStyle w:val="AucunA"/>
          <w:rFonts w:ascii="Times New Roman" w:hAnsi="Times New Roman"/>
          <w:sz w:val="24"/>
          <w:szCs w:val="24"/>
          <w:lang w:val="en-US"/>
        </w:rPr>
        <w:t>2151-3740</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Doucet J.-L., Kouadio Y.L., 2007. Le moabi, une espèce « phare » de l’exploitation forestière en Afrique centrale. Parcs Réserves, 62(2): 25-31.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Dupuy B., 1998. Bases pour une sylviculture en forêt dense tropicale humide africaine. Montpellier : CIRAD-Forêt, 329 p. (Série FORAFRI, 4). [</w:t>
      </w:r>
      <w:hyperlink r:id="rId23" w:history="1">
        <w:r>
          <w:rPr>
            <w:rStyle w:val="Hyperlink10"/>
            <w:rFonts w:ascii="Times New Roman" w:hAnsi="Times New Roman"/>
            <w:sz w:val="24"/>
            <w:szCs w:val="24"/>
          </w:rPr>
          <w:t>http://agritrop.cirad.fr/315216/</w:t>
        </w:r>
      </w:hyperlink>
      <w:r>
        <w:rPr>
          <w:rStyle w:val="AucunA"/>
          <w:rFonts w:ascii="Times New Roman" w:hAnsi="Times New Roman"/>
          <w:sz w:val="24"/>
          <w:szCs w:val="24"/>
        </w:rPr>
        <w:t xml:space="preserve">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 xml:space="preserve">Durrieu de Madron L., Forni E., 1997. Aménagement forestier dans l’est du Cameroun : Structure du peuplement et périodicité d’exploitation. Bois et Forêts des Tropiques, 254: 39-50.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Durrieu de Madron L., Daumerie A., 2004. Diamètre de fructification de quelques essences en forêt naturelle centrafricaine. Bois et Forêts des Tropiques</w:t>
      </w:r>
      <w:r>
        <w:rPr>
          <w:rStyle w:val="AucunA"/>
          <w:rFonts w:ascii="Times New Roman" w:hAnsi="Times New Roman"/>
          <w:i/>
          <w:iCs/>
          <w:sz w:val="24"/>
          <w:szCs w:val="24"/>
        </w:rPr>
        <w:t>,</w:t>
      </w:r>
      <w:r>
        <w:rPr>
          <w:rStyle w:val="AucunA"/>
          <w:rFonts w:ascii="Times New Roman" w:hAnsi="Times New Roman"/>
          <w:sz w:val="24"/>
          <w:szCs w:val="24"/>
        </w:rPr>
        <w:t xml:space="preserve"> 281(3): 87-95.</w:t>
      </w:r>
    </w:p>
    <w:p w:rsidR="003A53F7" w:rsidRDefault="00670B5E">
      <w:pPr>
        <w:pStyle w:val="CorpsA"/>
        <w:numPr>
          <w:ilvl w:val="0"/>
          <w:numId w:val="13"/>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Durrieu de Madron L., Nasi R., Détienne P., 2000. Accroissements diamétriques de quelques essences en forêt dense Africaine. Bois et Forêts des Tropiques, 263(1): 63-73.</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Fargeot C., Forni E. &amp; Nasi R., 2004. </w:t>
      </w:r>
      <w:r>
        <w:rPr>
          <w:rStyle w:val="AucunAA"/>
          <w:rFonts w:ascii="Times New Roman" w:hAnsi="Times New Roman"/>
          <w:sz w:val="24"/>
          <w:szCs w:val="24"/>
        </w:rPr>
        <w:t>Réflexions sur l’aménagement des forêts de production dans le bassin du Congo.</w:t>
      </w:r>
      <w:r>
        <w:rPr>
          <w:rStyle w:val="AucunA"/>
          <w:sz w:val="24"/>
          <w:szCs w:val="24"/>
        </w:rPr>
        <w:t xml:space="preserve"> </w:t>
      </w:r>
      <w:r>
        <w:rPr>
          <w:rStyle w:val="AucunAA"/>
          <w:rFonts w:ascii="Times New Roman" w:hAnsi="Times New Roman"/>
          <w:sz w:val="24"/>
          <w:szCs w:val="24"/>
        </w:rPr>
        <w:t xml:space="preserve">Bois et Forêts des Tropiques, 281: 19-34.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Fétéké F., Fayolle A., Daï</w:t>
      </w:r>
      <w:r>
        <w:rPr>
          <w:rStyle w:val="AucunA"/>
          <w:rFonts w:ascii="Times New Roman" w:hAnsi="Times New Roman"/>
          <w:sz w:val="24"/>
          <w:szCs w:val="24"/>
          <w:lang w:val="nl-NL"/>
        </w:rPr>
        <w:t>nou K., Bourland N., Di</w:t>
      </w:r>
      <w:r>
        <w:rPr>
          <w:rStyle w:val="AucunAA"/>
          <w:rFonts w:ascii="Times New Roman" w:hAnsi="Times New Roman"/>
          <w:sz w:val="24"/>
          <w:szCs w:val="24"/>
        </w:rPr>
        <w:t xml:space="preserve">é A., Lejeune P., </w:t>
      </w:r>
      <w:r>
        <w:rPr>
          <w:rStyle w:val="AucunA"/>
          <w:rFonts w:ascii="Times New Roman" w:hAnsi="Times New Roman"/>
          <w:i/>
          <w:iCs/>
          <w:sz w:val="24"/>
          <w:szCs w:val="24"/>
        </w:rPr>
        <w:t>et al.</w:t>
      </w:r>
      <w:r>
        <w:rPr>
          <w:rStyle w:val="AucunAA"/>
          <w:rFonts w:ascii="Times New Roman" w:hAnsi="Times New Roman"/>
          <w:sz w:val="24"/>
          <w:szCs w:val="24"/>
        </w:rPr>
        <w:t>, 2016. Variations saisonnières de la croissance diamétrique et des phénologies foliaire et reproductive de trois espèces ligneuses commerciales d'Afrique Centrale. Bois et Forêts des Tropiques</w:t>
      </w:r>
      <w:r>
        <w:rPr>
          <w:rStyle w:val="AucunA"/>
          <w:rFonts w:ascii="Times New Roman" w:hAnsi="Times New Roman"/>
          <w:i/>
          <w:iCs/>
          <w:sz w:val="24"/>
          <w:szCs w:val="24"/>
        </w:rPr>
        <w:t xml:space="preserve">, </w:t>
      </w:r>
      <w:r>
        <w:rPr>
          <w:rStyle w:val="AucunAA"/>
          <w:rFonts w:ascii="Times New Roman" w:hAnsi="Times New Roman"/>
          <w:sz w:val="24"/>
          <w:szCs w:val="24"/>
        </w:rPr>
        <w:t>330(4): 3-21</w:t>
      </w:r>
      <w:r>
        <w:rPr>
          <w:rStyle w:val="AucunA"/>
          <w:rFonts w:ascii="Times New Roman" w:hAnsi="Times New Roman"/>
          <w:i/>
          <w:iCs/>
          <w:sz w:val="24"/>
          <w:szCs w:val="24"/>
        </w:rPr>
        <w:t>.</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Fétéké F., Perin J., Fayolle A, Daïnou K., Bourland N., Kouadio Y.-L., </w:t>
      </w:r>
      <w:r>
        <w:rPr>
          <w:rStyle w:val="AucunA"/>
          <w:rFonts w:ascii="Times New Roman" w:hAnsi="Times New Roman"/>
          <w:i/>
          <w:iCs/>
          <w:sz w:val="24"/>
          <w:szCs w:val="24"/>
        </w:rPr>
        <w:t>et al.</w:t>
      </w:r>
      <w:r>
        <w:rPr>
          <w:rStyle w:val="AucunAA"/>
          <w:rFonts w:ascii="Times New Roman" w:hAnsi="Times New Roman"/>
          <w:sz w:val="24"/>
          <w:szCs w:val="24"/>
        </w:rPr>
        <w:t>, 2015. Modéliser la croissance de quatre essences pour amé</w:t>
      </w:r>
      <w:r>
        <w:rPr>
          <w:rStyle w:val="AucunA"/>
          <w:rFonts w:ascii="Times New Roman" w:hAnsi="Times New Roman"/>
          <w:sz w:val="24"/>
          <w:szCs w:val="24"/>
          <w:lang w:val="it-IT"/>
        </w:rPr>
        <w:t>liorer la gestion foresti</w:t>
      </w:r>
      <w:r>
        <w:rPr>
          <w:rStyle w:val="AucunAA"/>
          <w:rFonts w:ascii="Times New Roman" w:hAnsi="Times New Roman"/>
          <w:sz w:val="24"/>
          <w:szCs w:val="24"/>
        </w:rPr>
        <w:t>ère au Cameroun. Bois et Forêts des Tropiques, 325(3): 5-20.</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Fischer E., Rembold K., Althof A., Obholzer J., Malombe I., Mwachala G., </w:t>
      </w:r>
      <w:r>
        <w:rPr>
          <w:rStyle w:val="AucunA"/>
          <w:rFonts w:ascii="Times New Roman" w:hAnsi="Times New Roman"/>
          <w:i/>
          <w:iCs/>
          <w:sz w:val="24"/>
          <w:szCs w:val="24"/>
          <w:lang w:val="en-US"/>
        </w:rPr>
        <w:t>et al.</w:t>
      </w:r>
      <w:r>
        <w:rPr>
          <w:rStyle w:val="AucunA"/>
          <w:rFonts w:ascii="Times New Roman" w:hAnsi="Times New Roman"/>
          <w:sz w:val="24"/>
          <w:szCs w:val="24"/>
          <w:lang w:val="en-US"/>
        </w:rPr>
        <w:t>, 2010. Annotated checklist of the vascular plants of kakamega forest, western province, kenya. Journal of East African Natural History</w:t>
      </w:r>
      <w:r>
        <w:rPr>
          <w:rStyle w:val="AucunA"/>
          <w:rFonts w:ascii="Times New Roman" w:hAnsi="Times New Roman"/>
          <w:i/>
          <w:iCs/>
          <w:sz w:val="24"/>
          <w:szCs w:val="24"/>
          <w:lang w:val="en-US"/>
        </w:rPr>
        <w:t>,</w:t>
      </w:r>
      <w:r>
        <w:rPr>
          <w:rStyle w:val="AucunA"/>
          <w:rFonts w:ascii="Times New Roman" w:hAnsi="Times New Roman"/>
          <w:sz w:val="24"/>
          <w:szCs w:val="24"/>
          <w:lang w:val="en-US"/>
        </w:rPr>
        <w:t xml:space="preserve"> 99(2): 129-226.</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Geist H., Lambin E., 2002. Proximate causes and underlying driving forces of tropical deforestation. BioScience, 52(2): 143-150.</w:t>
      </w:r>
    </w:p>
    <w:p w:rsidR="003A53F7" w:rsidRPr="0082226B" w:rsidRDefault="00670B5E">
      <w:pPr>
        <w:pStyle w:val="CorpsA"/>
        <w:numPr>
          <w:ilvl w:val="0"/>
          <w:numId w:val="13"/>
        </w:numPr>
        <w:suppressAutoHyphens/>
        <w:spacing w:after="0" w:line="480" w:lineRule="auto"/>
        <w:jc w:val="both"/>
        <w:rPr>
          <w:rStyle w:val="AucunAA"/>
          <w:rFonts w:ascii="Times New Roman" w:eastAsia="Times New Roman" w:hAnsi="Times New Roman" w:cs="Times New Roman"/>
          <w:sz w:val="24"/>
          <w:szCs w:val="24"/>
        </w:rPr>
      </w:pPr>
      <w:r>
        <w:rPr>
          <w:rStyle w:val="AucunAA"/>
          <w:rFonts w:ascii="Times New Roman" w:hAnsi="Times New Roman"/>
          <w:sz w:val="24"/>
          <w:szCs w:val="24"/>
        </w:rPr>
        <w:t>Gé</w:t>
      </w:r>
      <w:r>
        <w:rPr>
          <w:rStyle w:val="AucunA"/>
          <w:rFonts w:ascii="Times New Roman" w:hAnsi="Times New Roman"/>
          <w:sz w:val="24"/>
          <w:szCs w:val="24"/>
          <w:lang w:val="it-IT"/>
        </w:rPr>
        <w:t>rard J., Edi Kouassi A., Daigremont C., D</w:t>
      </w:r>
      <w:r>
        <w:rPr>
          <w:rStyle w:val="AucunAA"/>
          <w:rFonts w:ascii="Times New Roman" w:hAnsi="Times New Roman"/>
          <w:sz w:val="24"/>
          <w:szCs w:val="24"/>
        </w:rPr>
        <w:t xml:space="preserve">étienne P., Fouquet D., Vernay M., 1998. Synthèse sur les caractéristiques technologiques de référence des principaux bois </w:t>
      </w:r>
      <w:r>
        <w:rPr>
          <w:rStyle w:val="AucunAA"/>
          <w:rFonts w:ascii="Times New Roman" w:hAnsi="Times New Roman"/>
          <w:sz w:val="24"/>
          <w:szCs w:val="24"/>
        </w:rPr>
        <w:lastRenderedPageBreak/>
        <w:t>commerciaux africains. Sé</w:t>
      </w:r>
      <w:r>
        <w:rPr>
          <w:rStyle w:val="AucunA"/>
          <w:rFonts w:ascii="Times New Roman" w:hAnsi="Times New Roman"/>
          <w:sz w:val="24"/>
          <w:szCs w:val="24"/>
          <w:lang w:val="en-US"/>
        </w:rPr>
        <w:t>rie FORAFRI, document 11, 185 p. CIRAD-For</w:t>
      </w:r>
      <w:r>
        <w:rPr>
          <w:rStyle w:val="AucunAA"/>
          <w:rFonts w:ascii="Times New Roman" w:hAnsi="Times New Roman"/>
          <w:sz w:val="24"/>
          <w:szCs w:val="24"/>
        </w:rPr>
        <w:t>êt, Montpellier (France).</w:t>
      </w:r>
    </w:p>
    <w:p w:rsidR="0082226B" w:rsidRDefault="0082226B">
      <w:pPr>
        <w:pStyle w:val="CorpsA"/>
        <w:numPr>
          <w:ilvl w:val="0"/>
          <w:numId w:val="13"/>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Gérad J., 1999. Comportement et caractéristiques technologiques des bois de forêt naturelle :</w:t>
      </w:r>
      <w:r w:rsidR="00B972BF">
        <w:rPr>
          <w:rStyle w:val="AucunAA"/>
          <w:rFonts w:ascii="Times New Roman" w:hAnsi="Times New Roman"/>
          <w:sz w:val="24"/>
          <w:szCs w:val="24"/>
        </w:rPr>
        <w:t xml:space="preserve"> évolution des méthodes d’étude en relation avec l’adéquation qualité-usages.</w:t>
      </w:r>
      <w:r w:rsidR="00B972BF" w:rsidRPr="00B972BF">
        <w:rPr>
          <w:rStyle w:val="AucunAA"/>
          <w:rFonts w:ascii="Times New Roman" w:hAnsi="Times New Roman"/>
          <w:i/>
          <w:sz w:val="24"/>
          <w:szCs w:val="24"/>
        </w:rPr>
        <w:t xml:space="preserve"> In:</w:t>
      </w:r>
      <w:r w:rsidR="00B972BF">
        <w:rPr>
          <w:rStyle w:val="AucunAA"/>
          <w:rFonts w:ascii="Times New Roman" w:hAnsi="Times New Roman"/>
          <w:sz w:val="24"/>
          <w:szCs w:val="24"/>
        </w:rPr>
        <w:t xml:space="preserve"> La gestion des forêts denses africaines aujourd’hui : Actes du séminaire Forafri de Libreville, Gabon. Nasi Robert (éd.), Amsallem Isabelle (éd.), Drouineau Sébastien (éd.). CIRAD-Forêt, CIFOR, FORAFRI. Montpellier : CIRAD-Forêt ISBN 2-87614-372-0.</w:t>
      </w:r>
      <w:r>
        <w:rPr>
          <w:rStyle w:val="AucunAA"/>
          <w:rFonts w:ascii="Times New Roman" w:hAnsi="Times New Roman"/>
          <w:sz w:val="24"/>
          <w:szCs w:val="24"/>
        </w:rPr>
        <w:t xml:space="preserve">hhtp://agritrop.cirad.fr/392132/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Gé</w:t>
      </w:r>
      <w:r>
        <w:rPr>
          <w:rStyle w:val="AucunA"/>
          <w:rFonts w:ascii="Times New Roman" w:hAnsi="Times New Roman"/>
          <w:sz w:val="24"/>
          <w:szCs w:val="24"/>
          <w:lang w:val="it-IT"/>
        </w:rPr>
        <w:t xml:space="preserve">rard J., Guibal D., Paradis S., Cerre J-C., 2016. </w:t>
      </w:r>
      <w:r>
        <w:rPr>
          <w:rStyle w:val="AucunAA"/>
          <w:rFonts w:ascii="Times New Roman" w:hAnsi="Times New Roman"/>
          <w:sz w:val="24"/>
          <w:szCs w:val="24"/>
        </w:rPr>
        <w:t xml:space="preserve">Atlas des bois tropicaux. Editions </w:t>
      </w:r>
      <w:r>
        <w:rPr>
          <w:rStyle w:val="AucunA"/>
          <w:rFonts w:ascii="Times New Roman" w:hAnsi="Times New Roman"/>
          <w:i/>
          <w:iCs/>
          <w:sz w:val="24"/>
          <w:szCs w:val="24"/>
          <w:lang w:val="it-IT"/>
        </w:rPr>
        <w:t>Quae</w:t>
      </w:r>
      <w:r>
        <w:rPr>
          <w:rStyle w:val="AucunAA"/>
          <w:rFonts w:ascii="Times New Roman" w:hAnsi="Times New Roman"/>
          <w:sz w:val="24"/>
          <w:szCs w:val="24"/>
        </w:rPr>
        <w:t>. Collection Guide pratique. Versailles (France). 999 p.</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Gillet J-F., Ngalouo B., Missamba-Lola AP., 2008. Rapport d</w:t>
      </w:r>
      <w:r>
        <w:rPr>
          <w:rStyle w:val="AucunAA"/>
          <w:rFonts w:ascii="Times New Roman" w:hAnsi="Times New Roman"/>
          <w:sz w:val="24"/>
          <w:szCs w:val="24"/>
        </w:rPr>
        <w:t>’analyse-volet dynamique forestière. Projet CIB FFEM « Suivi du programme dynamique forestière –</w:t>
      </w:r>
      <w:r>
        <w:rPr>
          <w:rStyle w:val="AucunA"/>
          <w:rFonts w:ascii="Times New Roman" w:hAnsi="Times New Roman"/>
          <w:sz w:val="24"/>
          <w:szCs w:val="24"/>
          <w:lang w:val="it-IT"/>
        </w:rPr>
        <w:t>agroforesterie</w:t>
      </w:r>
      <w:r>
        <w:rPr>
          <w:rStyle w:val="AucunAA"/>
          <w:rFonts w:ascii="Times New Roman" w:hAnsi="Times New Roman"/>
          <w:sz w:val="24"/>
          <w:szCs w:val="24"/>
        </w:rPr>
        <w:t>– inventaires faunes », Ministère de l’</w:t>
      </w:r>
      <w:r>
        <w:rPr>
          <w:rStyle w:val="AucunA"/>
          <w:rFonts w:ascii="Times New Roman" w:hAnsi="Times New Roman"/>
          <w:sz w:val="24"/>
          <w:szCs w:val="24"/>
          <w:lang w:val="it-IT"/>
        </w:rPr>
        <w:t>Economie Foresti</w:t>
      </w:r>
      <w:r>
        <w:rPr>
          <w:rStyle w:val="AucunAA"/>
          <w:rFonts w:ascii="Times New Roman" w:hAnsi="Times New Roman"/>
          <w:sz w:val="24"/>
          <w:szCs w:val="24"/>
        </w:rPr>
        <w:t>ère-République du Congo.</w:t>
      </w:r>
    </w:p>
    <w:p w:rsidR="003A53F7" w:rsidRPr="00A106E0"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Gillet P., Vermeulen C., Feintrenie L., Dessard H., Gracia M., 2016. Quelles sont les causes de la déforestation dans le bassin du Congo ? Synthèse bibliographique et études de cas. Biotechnologie Agronomie Société et Environnement</w:t>
      </w:r>
      <w:r>
        <w:rPr>
          <w:rStyle w:val="AucunA"/>
          <w:rFonts w:ascii="Times New Roman" w:hAnsi="Times New Roman"/>
          <w:i/>
          <w:iCs/>
          <w:sz w:val="24"/>
          <w:szCs w:val="24"/>
          <w:lang w:val="it-IT"/>
        </w:rPr>
        <w:t>,</w:t>
      </w:r>
      <w:r>
        <w:rPr>
          <w:rStyle w:val="AucunA"/>
          <w:sz w:val="24"/>
          <w:szCs w:val="24"/>
        </w:rPr>
        <w:t xml:space="preserve"> </w:t>
      </w:r>
      <w:r>
        <w:rPr>
          <w:rStyle w:val="AucunA"/>
          <w:rFonts w:ascii="Times New Roman" w:hAnsi="Times New Roman"/>
          <w:sz w:val="24"/>
          <w:szCs w:val="24"/>
          <w:lang w:val="it-IT"/>
        </w:rPr>
        <w:t>20(2): 183-194.</w:t>
      </w:r>
    </w:p>
    <w:p w:rsidR="00A106E0" w:rsidRPr="00A106E0" w:rsidRDefault="00A106E0" w:rsidP="00A106E0">
      <w:pPr>
        <w:pStyle w:val="ListParagraph"/>
        <w:numPr>
          <w:ilvl w:val="0"/>
          <w:numId w:val="14"/>
        </w:numPr>
        <w:spacing w:line="480" w:lineRule="auto"/>
        <w:jc w:val="both"/>
        <w:rPr>
          <w:rStyle w:val="AucunA"/>
          <w:rFonts w:ascii="Times New Roman" w:hAnsi="Times New Roman"/>
          <w:sz w:val="24"/>
          <w:szCs w:val="24"/>
          <w:lang w:val="it-IT"/>
        </w:rPr>
      </w:pPr>
      <w:r w:rsidRPr="00A106E0">
        <w:rPr>
          <w:rStyle w:val="AucunA"/>
          <w:rFonts w:ascii="Times New Roman" w:hAnsi="Times New Roman"/>
          <w:sz w:val="24"/>
          <w:szCs w:val="24"/>
          <w:lang w:val="it-IT"/>
        </w:rPr>
        <w:t xml:space="preserve">Guibal </w:t>
      </w:r>
      <w:r>
        <w:rPr>
          <w:rStyle w:val="AucunA"/>
          <w:rFonts w:ascii="Times New Roman" w:hAnsi="Times New Roman"/>
          <w:sz w:val="24"/>
          <w:szCs w:val="24"/>
          <w:lang w:val="it-IT"/>
        </w:rPr>
        <w:t>D., Langbour P</w:t>
      </w:r>
      <w:r w:rsidRPr="00A106E0">
        <w:rPr>
          <w:rStyle w:val="AucunA"/>
          <w:rFonts w:ascii="Times New Roman" w:hAnsi="Times New Roman"/>
          <w:sz w:val="24"/>
          <w:szCs w:val="24"/>
          <w:lang w:val="it-IT"/>
        </w:rPr>
        <w:t>.,</w:t>
      </w:r>
      <w:r>
        <w:rPr>
          <w:rStyle w:val="AucunA"/>
          <w:rFonts w:ascii="Times New Roman" w:hAnsi="Times New Roman"/>
          <w:sz w:val="24"/>
          <w:szCs w:val="24"/>
          <w:lang w:val="it-IT"/>
        </w:rPr>
        <w:t xml:space="preserve"> Gérard J., 2015</w:t>
      </w:r>
      <w:r w:rsidRPr="00A106E0">
        <w:rPr>
          <w:rStyle w:val="AucunA"/>
          <w:rFonts w:ascii="Times New Roman" w:hAnsi="Times New Roman"/>
          <w:sz w:val="24"/>
          <w:szCs w:val="24"/>
          <w:lang w:val="it-IT"/>
        </w:rPr>
        <w:t xml:space="preserve">. </w:t>
      </w:r>
      <w:r>
        <w:rPr>
          <w:rStyle w:val="AucunA"/>
          <w:rFonts w:ascii="Times New Roman" w:hAnsi="Times New Roman"/>
          <w:sz w:val="24"/>
          <w:szCs w:val="24"/>
          <w:lang w:val="it-IT"/>
        </w:rPr>
        <w:t>Propriétés physiques et mécaniques des bois</w:t>
      </w:r>
      <w:r w:rsidRPr="00A106E0">
        <w:rPr>
          <w:rStyle w:val="AucunA"/>
          <w:rFonts w:ascii="Times New Roman" w:hAnsi="Times New Roman"/>
          <w:sz w:val="24"/>
          <w:szCs w:val="24"/>
          <w:lang w:val="it-IT"/>
        </w:rPr>
        <w:t xml:space="preserve">. </w:t>
      </w:r>
      <w:r w:rsidRPr="00A106E0">
        <w:rPr>
          <w:rStyle w:val="AucunA"/>
          <w:rFonts w:ascii="Times New Roman" w:hAnsi="Times New Roman"/>
          <w:i/>
          <w:sz w:val="24"/>
          <w:szCs w:val="24"/>
          <w:lang w:val="it-IT"/>
        </w:rPr>
        <w:t>In:</w:t>
      </w:r>
      <w:r w:rsidRPr="00A106E0">
        <w:rPr>
          <w:rStyle w:val="AucunA"/>
          <w:rFonts w:ascii="Times New Roman" w:hAnsi="Times New Roman"/>
          <w:sz w:val="24"/>
          <w:szCs w:val="24"/>
          <w:lang w:val="it-IT"/>
        </w:rPr>
        <w:t xml:space="preserve"> Mille G., Louppe D., éds. Mémento du forestier tropical. Editions </w:t>
      </w:r>
      <w:r w:rsidRPr="00A106E0">
        <w:rPr>
          <w:rStyle w:val="AucunA"/>
          <w:rFonts w:ascii="Times New Roman" w:hAnsi="Times New Roman"/>
          <w:i/>
          <w:sz w:val="24"/>
          <w:szCs w:val="24"/>
          <w:lang w:val="it-IT"/>
        </w:rPr>
        <w:t>Quae</w:t>
      </w:r>
      <w:r w:rsidRPr="00A106E0">
        <w:rPr>
          <w:rStyle w:val="AucunA"/>
          <w:rFonts w:ascii="Times New Roman" w:hAnsi="Times New Roman"/>
          <w:sz w:val="24"/>
          <w:szCs w:val="24"/>
          <w:lang w:val="it-IT"/>
        </w:rPr>
        <w:t>.</w:t>
      </w:r>
      <w:r>
        <w:rPr>
          <w:rStyle w:val="AucunA"/>
          <w:rFonts w:ascii="Times New Roman" w:hAnsi="Times New Roman"/>
          <w:sz w:val="24"/>
          <w:szCs w:val="24"/>
          <w:lang w:val="it-IT"/>
        </w:rPr>
        <w:t xml:space="preserve"> Versailles-France.</w:t>
      </w:r>
      <w:r w:rsidRPr="00A106E0">
        <w:rPr>
          <w:rStyle w:val="AucunA"/>
          <w:rFonts w:ascii="Times New Roman" w:hAnsi="Times New Roman"/>
          <w:sz w:val="24"/>
          <w:szCs w:val="24"/>
          <w:lang w:val="it-IT"/>
        </w:rPr>
        <w:t xml:space="preserve">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Hall J.S., 2008. Seed and seedling survival of African mahogany (</w:t>
      </w:r>
      <w:r>
        <w:rPr>
          <w:rStyle w:val="AucunA"/>
          <w:rFonts w:ascii="Times New Roman" w:hAnsi="Times New Roman"/>
          <w:i/>
          <w:iCs/>
          <w:sz w:val="24"/>
          <w:szCs w:val="24"/>
          <w:lang w:val="en-US"/>
        </w:rPr>
        <w:t xml:space="preserve">Entandrophragma </w:t>
      </w:r>
      <w:r>
        <w:rPr>
          <w:rStyle w:val="AucunA"/>
          <w:rFonts w:ascii="Times New Roman" w:hAnsi="Times New Roman"/>
          <w:sz w:val="24"/>
          <w:szCs w:val="24"/>
          <w:lang w:val="en-US"/>
        </w:rPr>
        <w:t>spp</w:t>
      </w:r>
      <w:r>
        <w:rPr>
          <w:rStyle w:val="AucunA"/>
          <w:rFonts w:ascii="Times New Roman" w:hAnsi="Times New Roman"/>
          <w:i/>
          <w:iCs/>
          <w:sz w:val="24"/>
          <w:szCs w:val="24"/>
          <w:lang w:val="en-US"/>
        </w:rPr>
        <w:t>.</w:t>
      </w:r>
      <w:r>
        <w:rPr>
          <w:rStyle w:val="AucunA"/>
          <w:rFonts w:ascii="Times New Roman" w:hAnsi="Times New Roman"/>
          <w:sz w:val="24"/>
          <w:szCs w:val="24"/>
          <w:lang w:val="en-US"/>
        </w:rPr>
        <w:t>) in the Central African Republic: Implications for forest management. Forest Ecology and Management, 255: 292-299.</w:t>
      </w:r>
    </w:p>
    <w:p w:rsidR="003A53F7" w:rsidRDefault="00670B5E">
      <w:pPr>
        <w:pStyle w:val="CorpsA"/>
        <w:numPr>
          <w:ilvl w:val="0"/>
          <w:numId w:val="15"/>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lastRenderedPageBreak/>
        <w:t>ITTO [International Tropical Timber Organization], 2017. Tropical Timber Market (TTM) Report. ITTO Market Information Service (MIS).</w:t>
      </w:r>
      <w:r>
        <w:rPr>
          <w:rStyle w:val="AucunA"/>
          <w:sz w:val="24"/>
          <w:szCs w:val="24"/>
          <w:lang w:val="en-US"/>
        </w:rPr>
        <w:t xml:space="preserve"> </w:t>
      </w:r>
      <w:r>
        <w:rPr>
          <w:rStyle w:val="AucunA"/>
          <w:rFonts w:ascii="Times New Roman" w:hAnsi="Times New Roman"/>
          <w:sz w:val="24"/>
          <w:szCs w:val="24"/>
          <w:lang w:val="en-US"/>
        </w:rPr>
        <w:t xml:space="preserve">Volume 21 Number 23, 1st – 15th December 2017. </w:t>
      </w:r>
    </w:p>
    <w:p w:rsidR="003A53F7" w:rsidRPr="00415B5C"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Jagoret P., Kwesseu J., Messie C.A., Michel I., Malézieux E., 2014.Valeurs d’usage des ligneux utilisés en agroforesterie : les cacaoyères du Centre-Cameroun. Bois et Forêts des Tropiques, 321:</w:t>
      </w:r>
      <w:r>
        <w:rPr>
          <w:rStyle w:val="AucunA"/>
          <w:rFonts w:ascii="Times New Roman" w:hAnsi="Times New Roman"/>
          <w:b/>
          <w:bCs/>
          <w:sz w:val="24"/>
          <w:szCs w:val="24"/>
        </w:rPr>
        <w:t xml:space="preserve"> </w:t>
      </w:r>
      <w:r>
        <w:rPr>
          <w:rStyle w:val="AucunA"/>
          <w:rFonts w:ascii="Times New Roman" w:hAnsi="Times New Roman"/>
          <w:sz w:val="24"/>
          <w:szCs w:val="24"/>
        </w:rPr>
        <w:t>45-54.</w:t>
      </w:r>
    </w:p>
    <w:p w:rsidR="00415B5C" w:rsidRPr="009215A4" w:rsidRDefault="00415B5C">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de-DE"/>
        </w:rPr>
      </w:pPr>
      <w:r w:rsidRPr="00F4414F">
        <w:rPr>
          <w:rStyle w:val="AucunA"/>
          <w:rFonts w:ascii="Times New Roman" w:hAnsi="Times New Roman"/>
          <w:sz w:val="24"/>
          <w:szCs w:val="24"/>
          <w:lang w:val="de-DE"/>
        </w:rPr>
        <w:t xml:space="preserve">Kaennel </w:t>
      </w:r>
      <w:r w:rsidR="009215A4">
        <w:rPr>
          <w:rStyle w:val="AucunA"/>
          <w:rFonts w:ascii="Times New Roman" w:hAnsi="Times New Roman"/>
          <w:sz w:val="24"/>
          <w:szCs w:val="24"/>
          <w:lang w:val="de-DE"/>
        </w:rPr>
        <w:t xml:space="preserve">M. </w:t>
      </w:r>
      <w:r w:rsidRPr="00F4414F">
        <w:rPr>
          <w:rStyle w:val="AucunA"/>
          <w:rFonts w:ascii="Times New Roman" w:hAnsi="Times New Roman"/>
          <w:sz w:val="24"/>
          <w:szCs w:val="24"/>
          <w:lang w:val="de-DE"/>
        </w:rPr>
        <w:t>Schweingruber</w:t>
      </w:r>
      <w:r w:rsidR="009215A4">
        <w:rPr>
          <w:rStyle w:val="AucunA"/>
          <w:rFonts w:ascii="Times New Roman" w:hAnsi="Times New Roman"/>
          <w:sz w:val="24"/>
          <w:szCs w:val="24"/>
          <w:lang w:val="de-DE"/>
        </w:rPr>
        <w:t xml:space="preserve"> FH.</w:t>
      </w:r>
      <w:r w:rsidRPr="00F4414F">
        <w:rPr>
          <w:rStyle w:val="AucunA"/>
          <w:rFonts w:ascii="Times New Roman" w:hAnsi="Times New Roman"/>
          <w:sz w:val="24"/>
          <w:szCs w:val="24"/>
          <w:lang w:val="de-DE"/>
        </w:rPr>
        <w:t>, 1995</w:t>
      </w:r>
      <w:r w:rsidR="009215A4">
        <w:rPr>
          <w:rStyle w:val="AucunA"/>
          <w:rFonts w:ascii="Times New Roman" w:hAnsi="Times New Roman"/>
          <w:sz w:val="24"/>
          <w:szCs w:val="24"/>
          <w:lang w:val="de-DE"/>
        </w:rPr>
        <w:t>. Multilingual glossary of dendrochronology. Swiss Federal Institute for Forest, Snow and Landscape Research, Birmensdorf/Paul Haupt Publishers</w:t>
      </w:r>
      <w:r w:rsidR="00D536C7">
        <w:rPr>
          <w:rStyle w:val="AucunA"/>
          <w:rFonts w:ascii="Times New Roman" w:hAnsi="Times New Roman"/>
          <w:sz w:val="24"/>
          <w:szCs w:val="24"/>
          <w:lang w:val="de-DE"/>
        </w:rPr>
        <w:t>, Berne. 467 p.</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sidRPr="009215A4">
        <w:rPr>
          <w:rStyle w:val="AucunAA"/>
          <w:rFonts w:ascii="Times New Roman" w:hAnsi="Times New Roman"/>
          <w:sz w:val="24"/>
          <w:szCs w:val="24"/>
          <w:lang w:val="de-DE"/>
        </w:rPr>
        <w:t>Karsenty A., Vermeulen C., 2016. Vers des Concessions 2.0-Articuler gestion inclusive et exclusive dans les forêts de productio</w:t>
      </w:r>
      <w:r>
        <w:rPr>
          <w:rStyle w:val="AucunAA"/>
          <w:rFonts w:ascii="Times New Roman" w:hAnsi="Times New Roman"/>
          <w:sz w:val="24"/>
          <w:szCs w:val="24"/>
        </w:rPr>
        <w:t xml:space="preserve">n en Afrique centrale. </w:t>
      </w:r>
      <w:r>
        <w:rPr>
          <w:rStyle w:val="AucunA"/>
          <w:rFonts w:ascii="Times New Roman" w:hAnsi="Times New Roman"/>
          <w:i/>
          <w:iCs/>
          <w:sz w:val="24"/>
          <w:szCs w:val="24"/>
          <w:lang w:val="en-US"/>
        </w:rPr>
        <w:t>In</w:t>
      </w:r>
      <w:r>
        <w:rPr>
          <w:rStyle w:val="AucunA"/>
          <w:rFonts w:ascii="Times New Roman" w:hAnsi="Times New Roman"/>
          <w:sz w:val="24"/>
          <w:szCs w:val="24"/>
          <w:lang w:val="en-US"/>
        </w:rPr>
        <w:t>:</w:t>
      </w:r>
      <w:r>
        <w:rPr>
          <w:rStyle w:val="AucunA"/>
          <w:rFonts w:ascii="Times New Roman" w:hAnsi="Times New Roman"/>
          <w:i/>
          <w:iCs/>
          <w:sz w:val="24"/>
          <w:szCs w:val="24"/>
          <w:lang w:val="en-US"/>
        </w:rPr>
        <w:t xml:space="preserve"> </w:t>
      </w:r>
      <w:r>
        <w:rPr>
          <w:rStyle w:val="AucunA"/>
          <w:rFonts w:ascii="Times New Roman" w:hAnsi="Times New Roman"/>
          <w:sz w:val="24"/>
          <w:szCs w:val="24"/>
          <w:lang w:val="en-US"/>
        </w:rPr>
        <w:t xml:space="preserve">Buttoud G., Nguinguiri J.C., Aubert S., Bakouma J., Karsenty A., Kouplevatskaya-Buttoud I., Lescuyer G. (Eds). </w:t>
      </w:r>
      <w:r>
        <w:rPr>
          <w:rStyle w:val="AucunAA"/>
          <w:rFonts w:ascii="Times New Roman" w:hAnsi="Times New Roman"/>
          <w:sz w:val="24"/>
          <w:szCs w:val="24"/>
        </w:rPr>
        <w:t>La gestion inclusive des forêts d’Afrique centrale : de la participation au partage des pouvoirs.</w:t>
      </w:r>
      <w:r>
        <w:rPr>
          <w:rStyle w:val="AucunA"/>
          <w:rFonts w:ascii="Times New Roman" w:hAnsi="Times New Roman"/>
          <w:i/>
          <w:iCs/>
          <w:sz w:val="24"/>
          <w:szCs w:val="24"/>
        </w:rPr>
        <w:t xml:space="preserve"> </w:t>
      </w:r>
      <w:r>
        <w:rPr>
          <w:rStyle w:val="AucunA"/>
          <w:rFonts w:ascii="Times New Roman" w:hAnsi="Times New Roman"/>
          <w:sz w:val="24"/>
          <w:szCs w:val="24"/>
          <w:lang w:val="it-IT"/>
        </w:rPr>
        <w:t>FAO, CIFOR, Libreville, p. 205-223.</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Karsenty A., Ongolo S., 2012. Les terres agricoles et les forêts dans la mondialisation: de la tentation de l’accaparement à la diversification des modèles? </w:t>
      </w:r>
      <w:r>
        <w:rPr>
          <w:rStyle w:val="AucunA"/>
          <w:rFonts w:ascii="Times New Roman" w:hAnsi="Times New Roman"/>
          <w:i/>
          <w:iCs/>
          <w:sz w:val="24"/>
          <w:szCs w:val="24"/>
          <w:lang w:val="it-IT"/>
        </w:rPr>
        <w:t>In</w:t>
      </w:r>
      <w:r>
        <w:rPr>
          <w:rStyle w:val="AucunA"/>
          <w:rFonts w:ascii="Times New Roman" w:hAnsi="Times New Roman"/>
          <w:sz w:val="24"/>
          <w:szCs w:val="24"/>
          <w:lang w:val="it-IT"/>
        </w:rPr>
        <w:t>: Agriculture et alimentation : des champs géopolitiques de confrontation au XXIe siècle. Paris : Cahier Demeter, 13, pp 99–108.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Karsenty A., 2004. Enjeux des réformes récentes de la fiscalité forestière dans le bassin du Congo. Bois et Forêts des Tropiques</w:t>
      </w:r>
      <w:r>
        <w:rPr>
          <w:rStyle w:val="AucunA"/>
          <w:rFonts w:ascii="Times New Roman" w:hAnsi="Times New Roman"/>
          <w:i/>
          <w:iCs/>
          <w:sz w:val="24"/>
          <w:szCs w:val="24"/>
          <w:lang w:val="it-IT"/>
        </w:rPr>
        <w:t xml:space="preserve">, </w:t>
      </w:r>
      <w:r>
        <w:rPr>
          <w:rStyle w:val="AucunA"/>
          <w:rFonts w:ascii="Times New Roman" w:hAnsi="Times New Roman"/>
          <w:sz w:val="24"/>
          <w:szCs w:val="24"/>
          <w:lang w:val="it-IT"/>
        </w:rPr>
        <w:t>281: 51-60.</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Karsenty A., Ferron C., 2017. Recent evolutions of forest concessions status and dynamics in Central Africa. International Forestry Revew, 19, S2.</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Kasongo Yakusu E., Monthe F.S., </w:t>
      </w:r>
      <w:r>
        <w:rPr>
          <w:rStyle w:val="AucunA"/>
          <w:rFonts w:ascii="Times New Roman" w:hAnsi="Times New Roman"/>
          <w:sz w:val="24"/>
          <w:szCs w:val="24"/>
          <w:lang w:val="nl-NL"/>
        </w:rPr>
        <w:t>Bourland</w:t>
      </w:r>
      <w:r>
        <w:rPr>
          <w:rStyle w:val="AucunA"/>
          <w:rFonts w:ascii="Times New Roman" w:hAnsi="Times New Roman"/>
          <w:sz w:val="24"/>
          <w:szCs w:val="24"/>
          <w:lang w:val="it-IT"/>
        </w:rPr>
        <w:t xml:space="preserve"> N., Hardy O.J., Louppe D., Bola Mbele Lokanda F.</w:t>
      </w:r>
      <w:r>
        <w:rPr>
          <w:rStyle w:val="AucunA"/>
          <w:rFonts w:ascii="Times New Roman" w:hAnsi="Times New Roman"/>
          <w:sz w:val="24"/>
          <w:szCs w:val="24"/>
          <w:lang w:val="de-DE"/>
        </w:rPr>
        <w:t xml:space="preserve">, </w:t>
      </w:r>
      <w:r>
        <w:rPr>
          <w:rStyle w:val="AucunA"/>
          <w:rFonts w:ascii="Times New Roman" w:hAnsi="Times New Roman"/>
          <w:i/>
          <w:iCs/>
          <w:sz w:val="24"/>
          <w:szCs w:val="24"/>
          <w:lang w:val="it-IT"/>
        </w:rPr>
        <w:t>et al.</w:t>
      </w:r>
      <w:r>
        <w:rPr>
          <w:rStyle w:val="AucunA"/>
          <w:rFonts w:ascii="Times New Roman" w:hAnsi="Times New Roman"/>
          <w:sz w:val="24"/>
          <w:szCs w:val="24"/>
          <w:lang w:val="it-IT"/>
        </w:rPr>
        <w:t xml:space="preserve">, 2018. </w:t>
      </w:r>
      <w:r>
        <w:rPr>
          <w:rStyle w:val="AucunAA"/>
          <w:rFonts w:ascii="Times New Roman" w:hAnsi="Times New Roman"/>
          <w:sz w:val="24"/>
          <w:szCs w:val="24"/>
        </w:rPr>
        <w:t xml:space="preserve">Le genre </w:t>
      </w:r>
      <w:r>
        <w:rPr>
          <w:rStyle w:val="AucunA"/>
          <w:rFonts w:ascii="Times New Roman" w:hAnsi="Times New Roman"/>
          <w:i/>
          <w:iCs/>
          <w:sz w:val="24"/>
          <w:szCs w:val="24"/>
        </w:rPr>
        <w:t>Entandrophragma</w:t>
      </w:r>
      <w:r>
        <w:rPr>
          <w:rStyle w:val="AucunAA"/>
          <w:rFonts w:ascii="Times New Roman" w:hAnsi="Times New Roman"/>
          <w:sz w:val="24"/>
          <w:szCs w:val="24"/>
        </w:rPr>
        <w:t xml:space="preserve"> (Meliaceae) : taxonomie et écologie d’arbres africains d’intérêt économique (synthèse bibliographique). </w:t>
      </w:r>
      <w:r>
        <w:rPr>
          <w:rStyle w:val="AucunAA"/>
          <w:rFonts w:ascii="Times New Roman" w:hAnsi="Times New Roman"/>
          <w:sz w:val="24"/>
          <w:szCs w:val="24"/>
        </w:rPr>
        <w:lastRenderedPageBreak/>
        <w:t xml:space="preserve">Biotechnologie Agronomie Société Environnement, 22(2). URL : </w:t>
      </w:r>
      <w:hyperlink r:id="rId24" w:history="1">
        <w:r>
          <w:rPr>
            <w:rStyle w:val="Hyperlink11"/>
            <w:rFonts w:ascii="Times New Roman" w:hAnsi="Times New Roman"/>
            <w:sz w:val="24"/>
            <w:szCs w:val="24"/>
          </w:rPr>
          <w:t>https://popups.uliege.be:443/1780-4507/index.php?id=16353</w:t>
        </w:r>
      </w:hyperlink>
      <w:r>
        <w:rPr>
          <w:rStyle w:val="AucunAA"/>
          <w:rFonts w:ascii="Times New Roman" w:hAnsi="Times New Roman"/>
          <w:sz w:val="24"/>
          <w:szCs w:val="24"/>
        </w:rPr>
        <w:t>.</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Ké</w:t>
      </w:r>
      <w:r>
        <w:rPr>
          <w:rStyle w:val="AucunA"/>
          <w:rFonts w:ascii="Times New Roman" w:hAnsi="Times New Roman"/>
          <w:sz w:val="24"/>
          <w:szCs w:val="24"/>
          <w:lang w:val="nl-NL"/>
        </w:rPr>
        <w:t>meuz</w:t>
      </w:r>
      <w:r>
        <w:rPr>
          <w:rStyle w:val="AucunAA"/>
          <w:rFonts w:ascii="Times New Roman" w:hAnsi="Times New Roman"/>
          <w:sz w:val="24"/>
          <w:szCs w:val="24"/>
        </w:rPr>
        <w:t xml:space="preserve">é V.A., 2008. </w:t>
      </w:r>
      <w:r>
        <w:rPr>
          <w:rStyle w:val="AucunA"/>
          <w:rFonts w:ascii="Times New Roman" w:hAnsi="Times New Roman"/>
          <w:i/>
          <w:iCs/>
          <w:sz w:val="24"/>
          <w:szCs w:val="24"/>
        </w:rPr>
        <w:t xml:space="preserve">Entandrophragma cylindricum </w:t>
      </w:r>
      <w:r>
        <w:rPr>
          <w:rStyle w:val="AucunA"/>
          <w:rFonts w:ascii="Times New Roman" w:hAnsi="Times New Roman"/>
          <w:sz w:val="24"/>
          <w:szCs w:val="24"/>
          <w:lang w:val="de-DE"/>
        </w:rPr>
        <w:t xml:space="preserve">(Sprague) Sprague. </w:t>
      </w:r>
      <w:r>
        <w:rPr>
          <w:rStyle w:val="AucunA"/>
          <w:rFonts w:ascii="Times New Roman" w:hAnsi="Times New Roman"/>
          <w:i/>
          <w:iCs/>
          <w:sz w:val="24"/>
          <w:szCs w:val="24"/>
          <w:lang w:val="en-US"/>
        </w:rPr>
        <w:t>In</w:t>
      </w:r>
      <w:r>
        <w:rPr>
          <w:rStyle w:val="AucunA"/>
          <w:rFonts w:ascii="Times New Roman" w:hAnsi="Times New Roman"/>
          <w:sz w:val="24"/>
          <w:szCs w:val="24"/>
          <w:lang w:val="en-US"/>
        </w:rPr>
        <w:t xml:space="preserve">: Louppe, D., Oteng-Amoako A.A., Brink M. eds. </w:t>
      </w:r>
      <w:r>
        <w:rPr>
          <w:rStyle w:val="AucunAA"/>
          <w:rFonts w:ascii="Times New Roman" w:hAnsi="Times New Roman"/>
          <w:sz w:val="24"/>
          <w:szCs w:val="24"/>
        </w:rPr>
        <w:t>PROTA (Plant Resources of Tropical Africa / Ressources végétales de l’Afrique tropicale)</w:t>
      </w:r>
      <w:r>
        <w:rPr>
          <w:rStyle w:val="AucunA"/>
          <w:rFonts w:ascii="Times New Roman" w:hAnsi="Times New Roman"/>
          <w:sz w:val="24"/>
          <w:szCs w:val="24"/>
          <w:lang w:val="nl-NL"/>
        </w:rPr>
        <w:t>, Wageningen, Netherlands. Consult</w:t>
      </w:r>
      <w:r>
        <w:rPr>
          <w:rStyle w:val="AucunAA"/>
          <w:rFonts w:ascii="Times New Roman" w:hAnsi="Times New Roman"/>
          <w:sz w:val="24"/>
          <w:szCs w:val="24"/>
        </w:rPr>
        <w:t>é le 17 juin 2016.</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Lebacq L., Istas J.R., 1950. </w:t>
      </w:r>
      <w:r>
        <w:rPr>
          <w:rStyle w:val="AucunAA"/>
          <w:rFonts w:ascii="Times New Roman" w:hAnsi="Times New Roman"/>
          <w:sz w:val="24"/>
          <w:szCs w:val="24"/>
        </w:rPr>
        <w:t>Les bois des méliacées du Congo Belge</w:t>
      </w:r>
      <w:r>
        <w:rPr>
          <w:rStyle w:val="AucunA"/>
          <w:rFonts w:ascii="Times New Roman" w:hAnsi="Times New Roman"/>
          <w:sz w:val="24"/>
          <w:szCs w:val="24"/>
          <w:lang w:val="nl-NL"/>
        </w:rPr>
        <w:t xml:space="preserve">. Tervuren. Volume 2.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Lemmens R.H.M.J., 2008. </w:t>
      </w:r>
      <w:r>
        <w:rPr>
          <w:rStyle w:val="AucunA"/>
          <w:rFonts w:ascii="Times New Roman" w:hAnsi="Times New Roman"/>
          <w:i/>
          <w:iCs/>
          <w:sz w:val="24"/>
          <w:szCs w:val="24"/>
          <w:lang w:val="pt-PT"/>
        </w:rPr>
        <w:t>Entandrophragma excelsum</w:t>
      </w:r>
      <w:r>
        <w:rPr>
          <w:rStyle w:val="AucunA"/>
          <w:rFonts w:ascii="Times New Roman" w:hAnsi="Times New Roman"/>
          <w:sz w:val="24"/>
          <w:szCs w:val="24"/>
          <w:lang w:val="it-IT"/>
        </w:rPr>
        <w:t xml:space="preserve"> (Dawe &amp; Sprague) Sprague. In: Louppe D., Oteng-Amoako A.A., Brink M., éds. Prota 7(1): </w:t>
      </w:r>
      <w:r>
        <w:rPr>
          <w:rStyle w:val="AucunA"/>
          <w:rFonts w:ascii="Times New Roman" w:hAnsi="Times New Roman"/>
          <w:sz w:val="24"/>
          <w:szCs w:val="24"/>
          <w:lang w:val="pt-PT"/>
        </w:rPr>
        <w:t>Timbers/Bois d</w:t>
      </w:r>
      <w:r>
        <w:rPr>
          <w:rStyle w:val="AucunA"/>
          <w:rFonts w:ascii="Times New Roman" w:hAnsi="Times New Roman"/>
          <w:sz w:val="24"/>
          <w:szCs w:val="24"/>
          <w:lang w:val="it-IT"/>
        </w:rPr>
        <w:t>’œuvre</w:t>
      </w:r>
      <w:r>
        <w:rPr>
          <w:rStyle w:val="AucunA"/>
          <w:rFonts w:ascii="Times New Roman" w:hAnsi="Times New Roman"/>
          <w:sz w:val="24"/>
          <w:szCs w:val="24"/>
          <w:lang w:val="de-DE"/>
        </w:rPr>
        <w:t xml:space="preserve"> 1. [CD-Rom]. PROTA, Wageningen, Pays-Bas.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de-DE"/>
        </w:rPr>
      </w:pPr>
      <w:r>
        <w:rPr>
          <w:rStyle w:val="AucunA"/>
          <w:rFonts w:ascii="Times New Roman" w:hAnsi="Times New Roman"/>
          <w:sz w:val="24"/>
          <w:szCs w:val="24"/>
          <w:lang w:val="de-DE"/>
        </w:rPr>
        <w:t>Lemmens R.H.M.J., Omino E.A., Bosch C.H., 2010. Bois d’oeuvre de l’Afrique tropicale. Conclusions et recommandations basées sur PROTA 7(1)</w:t>
      </w:r>
      <w:r>
        <w:rPr>
          <w:rStyle w:val="AucunA"/>
          <w:rFonts w:ascii="Times New Roman" w:hAnsi="Times New Roman"/>
          <w:i/>
          <w:iCs/>
          <w:sz w:val="24"/>
          <w:szCs w:val="24"/>
          <w:lang w:val="de-DE"/>
        </w:rPr>
        <w:t xml:space="preserve"> : </w:t>
      </w:r>
      <w:r>
        <w:rPr>
          <w:rStyle w:val="AucunA"/>
          <w:rFonts w:ascii="Times New Roman" w:hAnsi="Times New Roman"/>
          <w:sz w:val="24"/>
          <w:szCs w:val="24"/>
          <w:lang w:val="de-DE"/>
        </w:rPr>
        <w:t>“Bois d’oeuvre 1”. [Tradition de: Timbers of Tropical Africa. Conclusions and recommendations based on PROTA 7(1): ‘Timbers 1’. 2009]. Fondation PROTA, Nairobi, Kenya, 92 pp.</w:t>
      </w:r>
    </w:p>
    <w:p w:rsidR="003A53F7" w:rsidRDefault="00670B5E">
      <w:pPr>
        <w:pStyle w:val="ListParagraph"/>
        <w:numPr>
          <w:ilvl w:val="0"/>
          <w:numId w:val="14"/>
        </w:numPr>
        <w:spacing w:after="0" w:line="480" w:lineRule="auto"/>
        <w:jc w:val="both"/>
        <w:rPr>
          <w:rStyle w:val="AucunA"/>
          <w:rFonts w:ascii="Times New Roman" w:eastAsia="Times New Roman" w:hAnsi="Times New Roman" w:cs="Times New Roman"/>
          <w:sz w:val="24"/>
          <w:szCs w:val="24"/>
          <w:lang w:val="de-DE"/>
        </w:rPr>
      </w:pPr>
      <w:r>
        <w:rPr>
          <w:rStyle w:val="AucunA"/>
          <w:rFonts w:ascii="Times New Roman" w:hAnsi="Times New Roman"/>
          <w:sz w:val="24"/>
          <w:szCs w:val="24"/>
          <w:lang w:val="de-DE"/>
        </w:rPr>
        <w:t>Lescuyer G., Cerutti P.O., Essiane E., Ebaa R.</w:t>
      </w:r>
      <w:r>
        <w:rPr>
          <w:rStyle w:val="AucunA"/>
          <w:sz w:val="24"/>
          <w:szCs w:val="24"/>
        </w:rPr>
        <w:t xml:space="preserve">, </w:t>
      </w:r>
      <w:r>
        <w:rPr>
          <w:rStyle w:val="AucunA"/>
          <w:rFonts w:ascii="Times New Roman" w:hAnsi="Times New Roman"/>
          <w:sz w:val="24"/>
          <w:szCs w:val="24"/>
          <w:lang w:val="de-DE"/>
        </w:rPr>
        <w:t>Nasi R., 2012. Evaluation du secteur du sciage artisanal dans le bassin du Congo.</w:t>
      </w:r>
      <w:r>
        <w:rPr>
          <w:rStyle w:val="AucunA"/>
          <w:sz w:val="24"/>
          <w:szCs w:val="24"/>
        </w:rPr>
        <w:t xml:space="preserve"> </w:t>
      </w:r>
      <w:r>
        <w:rPr>
          <w:rStyle w:val="AucunA"/>
          <w:rFonts w:ascii="Times New Roman" w:hAnsi="Times New Roman"/>
          <w:i/>
          <w:iCs/>
          <w:sz w:val="24"/>
          <w:szCs w:val="24"/>
          <w:lang w:val="de-DE"/>
        </w:rPr>
        <w:t>In</w:t>
      </w:r>
      <w:r>
        <w:rPr>
          <w:rStyle w:val="AucunA"/>
          <w:rFonts w:ascii="Times New Roman" w:hAnsi="Times New Roman"/>
          <w:sz w:val="24"/>
          <w:szCs w:val="24"/>
          <w:lang w:val="de-DE"/>
        </w:rPr>
        <w:t xml:space="preserve">: de Wasseige C., de Marcken P., Bayol N., Hiol Hiol F., Mayaux P., Desclée B., Nasi R., </w:t>
      </w:r>
      <w:r>
        <w:rPr>
          <w:rStyle w:val="AucunA"/>
          <w:rFonts w:ascii="Times New Roman" w:hAnsi="Times New Roman"/>
          <w:i/>
          <w:iCs/>
          <w:sz w:val="24"/>
          <w:szCs w:val="24"/>
          <w:lang w:val="de-DE"/>
        </w:rPr>
        <w:t>et al.</w:t>
      </w:r>
      <w:r>
        <w:rPr>
          <w:rStyle w:val="AucunA"/>
          <w:rFonts w:ascii="Times New Roman" w:hAnsi="Times New Roman"/>
          <w:sz w:val="24"/>
          <w:szCs w:val="24"/>
          <w:lang w:val="de-DE"/>
        </w:rPr>
        <w:t>, éds. Les Forêts du Bassin du Congo – État des Forêts 2010. Luxembourg : Office des Publications de l’Union E</w:t>
      </w:r>
      <w:r>
        <w:rPr>
          <w:rStyle w:val="AucunA"/>
          <w:rFonts w:ascii="Times New Roman" w:hAnsi="Times New Roman"/>
          <w:sz w:val="24"/>
          <w:szCs w:val="24"/>
          <w:lang w:val="de-DE"/>
        </w:rPr>
        <w:t>u</w:t>
      </w:r>
      <w:r>
        <w:rPr>
          <w:rStyle w:val="AucunA"/>
          <w:rFonts w:ascii="Times New Roman" w:hAnsi="Times New Roman"/>
          <w:sz w:val="24"/>
          <w:szCs w:val="24"/>
          <w:lang w:val="de-DE"/>
        </w:rPr>
        <w:t>ropéenne.</w:t>
      </w:r>
    </w:p>
    <w:p w:rsidR="003A53F7" w:rsidRDefault="00670B5E">
      <w:pPr>
        <w:pStyle w:val="ListParagraph"/>
        <w:numPr>
          <w:ilvl w:val="0"/>
          <w:numId w:val="15"/>
        </w:numPr>
        <w:spacing w:after="0" w:line="480" w:lineRule="auto"/>
        <w:jc w:val="both"/>
        <w:rPr>
          <w:rStyle w:val="AucunA"/>
          <w:rFonts w:ascii="Times New Roman" w:eastAsia="Times New Roman" w:hAnsi="Times New Roman" w:cs="Times New Roman"/>
          <w:sz w:val="24"/>
          <w:szCs w:val="24"/>
          <w:lang w:val="de-DE"/>
        </w:rPr>
      </w:pPr>
      <w:r>
        <w:rPr>
          <w:rStyle w:val="AucunA"/>
          <w:rFonts w:ascii="Times New Roman" w:hAnsi="Times New Roman"/>
          <w:sz w:val="24"/>
          <w:szCs w:val="24"/>
          <w:lang w:val="de-DE"/>
        </w:rPr>
        <w:t>Leroy M., Vendé J., Aubert P.M., Espinosa L., Leménager T., 2011. Concept et disp</w:t>
      </w:r>
      <w:r>
        <w:rPr>
          <w:rStyle w:val="AucunA"/>
          <w:rFonts w:ascii="Times New Roman" w:hAnsi="Times New Roman"/>
          <w:sz w:val="24"/>
          <w:szCs w:val="24"/>
          <w:lang w:val="de-DE"/>
        </w:rPr>
        <w:t>o</w:t>
      </w:r>
      <w:r>
        <w:rPr>
          <w:rStyle w:val="AucunA"/>
          <w:rFonts w:ascii="Times New Roman" w:hAnsi="Times New Roman"/>
          <w:sz w:val="24"/>
          <w:szCs w:val="24"/>
          <w:lang w:val="de-DE"/>
        </w:rPr>
        <w:t>sitifs de gestion durable des forêts tropicales : une analyse critique de la prise en cha</w:t>
      </w:r>
      <w:r>
        <w:rPr>
          <w:rStyle w:val="AucunA"/>
          <w:rFonts w:ascii="Times New Roman" w:hAnsi="Times New Roman"/>
          <w:sz w:val="24"/>
          <w:szCs w:val="24"/>
          <w:lang w:val="de-DE"/>
        </w:rPr>
        <w:t>r</w:t>
      </w:r>
      <w:r>
        <w:rPr>
          <w:rStyle w:val="AucunA"/>
          <w:rFonts w:ascii="Times New Roman" w:hAnsi="Times New Roman"/>
          <w:sz w:val="24"/>
          <w:szCs w:val="24"/>
          <w:lang w:val="de-DE"/>
        </w:rPr>
        <w:t xml:space="preserve">ge des enjeux environnementaux. Actes de colloque SIFFE: Yaoundé-Cameroun. </w:t>
      </w:r>
    </w:p>
    <w:p w:rsidR="003A53F7" w:rsidRDefault="00670B5E">
      <w:pPr>
        <w:pStyle w:val="ListParagraph"/>
        <w:spacing w:after="0" w:line="480" w:lineRule="auto"/>
        <w:jc w:val="both"/>
        <w:rPr>
          <w:rStyle w:val="AucunA"/>
          <w:rFonts w:ascii="Times New Roman" w:eastAsia="Times New Roman" w:hAnsi="Times New Roman" w:cs="Times New Roman"/>
          <w:sz w:val="24"/>
          <w:szCs w:val="24"/>
          <w:lang w:val="de-DE"/>
        </w:rPr>
      </w:pPr>
      <w:r>
        <w:rPr>
          <w:rStyle w:val="AucunA"/>
          <w:rFonts w:ascii="Times New Roman" w:hAnsi="Times New Roman"/>
          <w:sz w:val="24"/>
          <w:szCs w:val="24"/>
          <w:lang w:val="de-DE"/>
        </w:rPr>
        <w:lastRenderedPageBreak/>
        <w:t xml:space="preserve"> [</w:t>
      </w:r>
      <w:hyperlink r:id="rId25" w:history="1">
        <w:r>
          <w:rPr>
            <w:rStyle w:val="Hyperlink12"/>
            <w:rFonts w:eastAsia="Calibri"/>
          </w:rPr>
          <w:t>http://www.sifee.org/static/uploaded/Files/ressources/actes-des-colloques/yaounde/pleniere-2-2/2_LEROY_DERROIRE_TXT.pdf</w:t>
        </w:r>
      </w:hyperlink>
      <w:r>
        <w:rPr>
          <w:rStyle w:val="AucunA"/>
          <w:rFonts w:ascii="Times New Roman" w:hAnsi="Times New Roman"/>
          <w:sz w:val="24"/>
          <w:szCs w:val="24"/>
          <w:lang w:val="de-DE"/>
        </w:rPr>
        <w:t xml:space="preserve"> ] (consulté le 05/12/2017).</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Lisingo J., Lokinda F., Wetsi J.-L., Ntahobavuka H., 2012. </w:t>
      </w:r>
      <w:r>
        <w:rPr>
          <w:rStyle w:val="AucunAA"/>
          <w:rFonts w:ascii="Times New Roman" w:hAnsi="Times New Roman"/>
          <w:sz w:val="24"/>
          <w:szCs w:val="24"/>
        </w:rPr>
        <w:t xml:space="preserve">Exploitation artisanale du bois et des chenilles comestibles par les habitants de la ville de Kisangani et ses environs. </w:t>
      </w:r>
      <w:r>
        <w:rPr>
          <w:rStyle w:val="AucunA"/>
          <w:rFonts w:ascii="Times New Roman" w:hAnsi="Times New Roman"/>
          <w:i/>
          <w:iCs/>
          <w:sz w:val="24"/>
          <w:szCs w:val="24"/>
        </w:rPr>
        <w:t>In</w:t>
      </w:r>
      <w:r>
        <w:rPr>
          <w:rStyle w:val="AucunAA"/>
          <w:rFonts w:ascii="Times New Roman" w:hAnsi="Times New Roman"/>
          <w:sz w:val="24"/>
          <w:szCs w:val="24"/>
        </w:rPr>
        <w:t xml:space="preserve">: Benneker C., Assumani D-M., Maindo A., Bola F., Kimbuani G., Lescuyer G., </w:t>
      </w:r>
      <w:r>
        <w:rPr>
          <w:rStyle w:val="AucunA"/>
          <w:rFonts w:ascii="Times New Roman" w:hAnsi="Times New Roman"/>
          <w:i/>
          <w:iCs/>
          <w:sz w:val="24"/>
          <w:szCs w:val="24"/>
        </w:rPr>
        <w:t>et al.</w:t>
      </w:r>
      <w:r>
        <w:rPr>
          <w:rStyle w:val="AucunAA"/>
          <w:rFonts w:ascii="Times New Roman" w:hAnsi="Times New Roman"/>
          <w:sz w:val="24"/>
          <w:szCs w:val="24"/>
        </w:rPr>
        <w:t>, éds.</w:t>
      </w:r>
      <w:r>
        <w:rPr>
          <w:rStyle w:val="AucunA"/>
          <w:rFonts w:ascii="Times New Roman" w:hAnsi="Times New Roman"/>
          <w:i/>
          <w:iCs/>
          <w:sz w:val="24"/>
          <w:szCs w:val="24"/>
        </w:rPr>
        <w:t xml:space="preserve"> </w:t>
      </w:r>
      <w:r>
        <w:rPr>
          <w:rStyle w:val="AucunAA"/>
          <w:rFonts w:ascii="Times New Roman" w:hAnsi="Times New Roman"/>
          <w:sz w:val="24"/>
          <w:szCs w:val="24"/>
        </w:rPr>
        <w:t>Le bois à l’ordre du jour Exploitation artisanale de bois d’œuvre en RD Congo : Secteur porteur d’espoir pour le développement des petites et moyennes entreprises.</w:t>
      </w:r>
      <w:r>
        <w:rPr>
          <w:rStyle w:val="AucunA"/>
          <w:rFonts w:ascii="Times New Roman" w:hAnsi="Times New Roman"/>
          <w:sz w:val="24"/>
          <w:szCs w:val="24"/>
          <w:lang w:val="nl-NL"/>
        </w:rPr>
        <w:t xml:space="preserve"> Tropenbos International RD Congo, Wageningen, Pays-bas. X + 278 pp.: 248-262.</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Louppe D., Ouatara N., 2013. </w:t>
      </w:r>
      <w:r>
        <w:rPr>
          <w:rStyle w:val="AucunAA"/>
          <w:rFonts w:ascii="Times New Roman" w:hAnsi="Times New Roman"/>
          <w:sz w:val="24"/>
          <w:szCs w:val="24"/>
        </w:rPr>
        <w:t>Etude sur l’exploitation forestière et les contraintes d’une gestion des forêts dans le domaine rural en Côte d’Ivoire</w:t>
      </w:r>
      <w:r>
        <w:rPr>
          <w:rStyle w:val="AucunA"/>
          <w:rFonts w:ascii="Times New Roman" w:hAnsi="Times New Roman"/>
          <w:sz w:val="24"/>
          <w:szCs w:val="24"/>
          <w:lang w:val="de-DE"/>
        </w:rPr>
        <w:t>. Deutsche Gesellschaft für Internationale Zusammenarbeit (GIZ) GmbH, Abidjan-Côte d’Ivoire. 216 p.</w:t>
      </w:r>
    </w:p>
    <w:p w:rsidR="003A53F7" w:rsidRPr="0072792F" w:rsidRDefault="00670B5E">
      <w:pPr>
        <w:pStyle w:val="CorpsA"/>
        <w:numPr>
          <w:ilvl w:val="0"/>
          <w:numId w:val="14"/>
        </w:numPr>
        <w:suppressAutoHyphens/>
        <w:spacing w:after="0" w:line="480" w:lineRule="auto"/>
        <w:jc w:val="both"/>
        <w:rPr>
          <w:rStyle w:val="AucunA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Louppe D., Oteng-Amoako A.A., Brink M., 2008. </w:t>
      </w:r>
      <w:r>
        <w:rPr>
          <w:rStyle w:val="AucunAA"/>
          <w:rFonts w:ascii="Times New Roman" w:hAnsi="Times New Roman"/>
          <w:sz w:val="24"/>
          <w:szCs w:val="24"/>
        </w:rPr>
        <w:t>Ressources végétales de l'Afrique tropicale. Prota 7(1) : bois d'œuvre</w:t>
      </w:r>
      <w:r>
        <w:rPr>
          <w:rStyle w:val="AucunA"/>
          <w:rFonts w:ascii="Times New Roman" w:hAnsi="Times New Roman"/>
          <w:sz w:val="24"/>
          <w:szCs w:val="24"/>
          <w:lang w:val="nl-NL"/>
        </w:rPr>
        <w:t>. Wageningen, Netherlands</w:t>
      </w:r>
      <w:r>
        <w:rPr>
          <w:rStyle w:val="AucunAA"/>
          <w:rFonts w:ascii="Times New Roman" w:hAnsi="Times New Roman"/>
          <w:sz w:val="24"/>
          <w:szCs w:val="24"/>
        </w:rPr>
        <w:t>:</w:t>
      </w:r>
      <w:r>
        <w:rPr>
          <w:rStyle w:val="AucunA"/>
          <w:rFonts w:ascii="Times New Roman" w:hAnsi="Times New Roman"/>
          <w:sz w:val="24"/>
          <w:szCs w:val="24"/>
          <w:lang w:val="en-US"/>
        </w:rPr>
        <w:t xml:space="preserve"> PROTA (Plant Resources of Tropical Africa / Ressources v</w:t>
      </w:r>
      <w:r>
        <w:rPr>
          <w:rStyle w:val="AucunAA"/>
          <w:rFonts w:ascii="Times New Roman" w:hAnsi="Times New Roman"/>
          <w:sz w:val="24"/>
          <w:szCs w:val="24"/>
        </w:rPr>
        <w:t>égétales de l’Afrique tropicale), 785 p.</w:t>
      </w:r>
    </w:p>
    <w:p w:rsidR="0072792F" w:rsidRPr="00A106E0" w:rsidRDefault="0072792F">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sidRPr="00642180">
        <w:rPr>
          <w:rStyle w:val="AucunAA"/>
          <w:rFonts w:ascii="Times New Roman" w:hAnsi="Times New Roman"/>
          <w:sz w:val="24"/>
          <w:szCs w:val="24"/>
        </w:rPr>
        <w:t xml:space="preserve">Louppe D., </w:t>
      </w:r>
      <w:r w:rsidR="00A106E0" w:rsidRPr="00642180">
        <w:rPr>
          <w:rStyle w:val="AucunAA"/>
          <w:rFonts w:ascii="Times New Roman" w:hAnsi="Times New Roman"/>
          <w:sz w:val="24"/>
          <w:szCs w:val="24"/>
        </w:rPr>
        <w:t>2015</w:t>
      </w:r>
      <w:r w:rsidRPr="00642180">
        <w:rPr>
          <w:rStyle w:val="AucunAA"/>
          <w:rFonts w:ascii="Times New Roman" w:hAnsi="Times New Roman"/>
          <w:sz w:val="24"/>
          <w:szCs w:val="24"/>
        </w:rPr>
        <w:t xml:space="preserve">. Anatomie des bois. </w:t>
      </w:r>
      <w:r w:rsidRPr="0072792F">
        <w:rPr>
          <w:rStyle w:val="AucunAA"/>
          <w:rFonts w:ascii="Times New Roman" w:hAnsi="Times New Roman"/>
          <w:sz w:val="24"/>
          <w:szCs w:val="24"/>
        </w:rPr>
        <w:t xml:space="preserve">In: </w:t>
      </w:r>
      <w:r w:rsidR="00A106E0" w:rsidRPr="00A106E0">
        <w:rPr>
          <w:rStyle w:val="AucunAA"/>
          <w:rFonts w:ascii="Times New Roman" w:hAnsi="Times New Roman"/>
          <w:sz w:val="24"/>
          <w:szCs w:val="24"/>
        </w:rPr>
        <w:t>Mille G., Louppe D., éds.</w:t>
      </w:r>
      <w:r w:rsidR="00A106E0">
        <w:rPr>
          <w:rStyle w:val="AucunAA"/>
          <w:rFonts w:ascii="Times New Roman" w:hAnsi="Times New Roman"/>
          <w:sz w:val="24"/>
          <w:szCs w:val="24"/>
        </w:rPr>
        <w:t xml:space="preserve"> </w:t>
      </w:r>
      <w:r w:rsidRPr="00A106E0">
        <w:rPr>
          <w:rStyle w:val="AucunAA"/>
          <w:rFonts w:ascii="Times New Roman" w:hAnsi="Times New Roman"/>
          <w:sz w:val="24"/>
          <w:szCs w:val="24"/>
          <w:lang w:val="en-US"/>
        </w:rPr>
        <w:t>Mémento du forestier tropical.</w:t>
      </w:r>
      <w:r w:rsidR="00A106E0" w:rsidRPr="00A106E0">
        <w:rPr>
          <w:rStyle w:val="AucunAA"/>
          <w:rFonts w:ascii="Times New Roman" w:hAnsi="Times New Roman"/>
          <w:sz w:val="24"/>
          <w:szCs w:val="24"/>
          <w:lang w:val="en-US"/>
        </w:rPr>
        <w:t xml:space="preserve"> Editions </w:t>
      </w:r>
      <w:r w:rsidR="00A106E0">
        <w:rPr>
          <w:rStyle w:val="AucunA"/>
          <w:rFonts w:ascii="Times New Roman" w:hAnsi="Times New Roman"/>
          <w:i/>
          <w:iCs/>
          <w:sz w:val="24"/>
          <w:szCs w:val="24"/>
          <w:lang w:val="it-IT"/>
        </w:rPr>
        <w:t>Quae</w:t>
      </w:r>
      <w:r w:rsidR="00A106E0" w:rsidRPr="00A106E0">
        <w:rPr>
          <w:rStyle w:val="AucunAA"/>
          <w:rFonts w:ascii="Times New Roman" w:hAnsi="Times New Roman"/>
          <w:sz w:val="24"/>
          <w:szCs w:val="24"/>
          <w:lang w:val="en-US"/>
        </w:rPr>
        <w:t>. V</w:t>
      </w:r>
      <w:r w:rsidR="00A106E0">
        <w:rPr>
          <w:rStyle w:val="AucunAA"/>
          <w:rFonts w:ascii="Times New Roman" w:hAnsi="Times New Roman"/>
          <w:sz w:val="24"/>
          <w:szCs w:val="24"/>
          <w:lang w:val="en-US"/>
        </w:rPr>
        <w:t>ersailles-France.</w:t>
      </w:r>
      <w:r w:rsidRPr="00A106E0">
        <w:rPr>
          <w:rStyle w:val="AucunAA"/>
          <w:rFonts w:ascii="Times New Roman" w:hAnsi="Times New Roman"/>
          <w:sz w:val="24"/>
          <w:szCs w:val="24"/>
          <w:lang w:val="en-US"/>
        </w:rPr>
        <w:t xml:space="preserve">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sidRPr="003457F0">
        <w:rPr>
          <w:rStyle w:val="AucunAA"/>
          <w:rFonts w:ascii="Times New Roman" w:hAnsi="Times New Roman"/>
          <w:sz w:val="24"/>
          <w:szCs w:val="24"/>
        </w:rPr>
        <w:t xml:space="preserve">Lourmas M., Kjellberg F., Dessard H., Joly H.I., Chevallier M.H., 2007. </w:t>
      </w:r>
      <w:r>
        <w:rPr>
          <w:rStyle w:val="AucunA"/>
          <w:rFonts w:ascii="Times New Roman" w:hAnsi="Times New Roman"/>
          <w:sz w:val="24"/>
          <w:szCs w:val="24"/>
          <w:lang w:val="en-US"/>
        </w:rPr>
        <w:t xml:space="preserve">Reduced density due to logging and its consequences on mating system and pollen flow in the African mahogany </w:t>
      </w:r>
      <w:r>
        <w:rPr>
          <w:rStyle w:val="AucunA"/>
          <w:rFonts w:ascii="Times New Roman" w:hAnsi="Times New Roman"/>
          <w:i/>
          <w:iCs/>
          <w:sz w:val="24"/>
          <w:szCs w:val="24"/>
          <w:lang w:val="en-US"/>
        </w:rPr>
        <w:t>Entandrophragma cylindricum</w:t>
      </w:r>
      <w:r>
        <w:rPr>
          <w:rStyle w:val="AucunA"/>
          <w:rFonts w:ascii="Times New Roman" w:hAnsi="Times New Roman"/>
          <w:sz w:val="24"/>
          <w:szCs w:val="24"/>
          <w:lang w:val="en-US"/>
        </w:rPr>
        <w:t xml:space="preserve">. Heredity, 99 : 151-160.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Mate J-P., Lusuna M., Nshimba H., Ndjele L., 2013. </w:t>
      </w:r>
      <w:r>
        <w:rPr>
          <w:rStyle w:val="AucunAA"/>
          <w:rFonts w:ascii="Times New Roman" w:hAnsi="Times New Roman"/>
          <w:sz w:val="24"/>
          <w:szCs w:val="24"/>
        </w:rPr>
        <w:t xml:space="preserve">Les essences forestières à charbon de bois aux environs de Kisangani. </w:t>
      </w:r>
      <w:r>
        <w:rPr>
          <w:rStyle w:val="AucunA"/>
          <w:rFonts w:ascii="Times New Roman" w:hAnsi="Times New Roman"/>
          <w:i/>
          <w:iCs/>
          <w:sz w:val="24"/>
          <w:szCs w:val="24"/>
        </w:rPr>
        <w:t>In</w:t>
      </w:r>
      <w:r>
        <w:rPr>
          <w:rStyle w:val="AucunAA"/>
          <w:rFonts w:ascii="Times New Roman" w:hAnsi="Times New Roman"/>
          <w:sz w:val="24"/>
          <w:szCs w:val="24"/>
        </w:rPr>
        <w:t> </w:t>
      </w:r>
      <w:r>
        <w:rPr>
          <w:rStyle w:val="AucunA"/>
          <w:rFonts w:ascii="Times New Roman" w:hAnsi="Times New Roman"/>
          <w:sz w:val="24"/>
          <w:szCs w:val="24"/>
          <w:lang w:val="de-DE"/>
        </w:rPr>
        <w:t>: Marien J.-N., Dubiez E., Louppe D., Larzilli</w:t>
      </w:r>
      <w:r>
        <w:rPr>
          <w:rStyle w:val="AucunAA"/>
          <w:rFonts w:ascii="Times New Roman" w:hAnsi="Times New Roman"/>
          <w:sz w:val="24"/>
          <w:szCs w:val="24"/>
        </w:rPr>
        <w:t>è</w:t>
      </w:r>
      <w:r>
        <w:rPr>
          <w:rStyle w:val="AucunA"/>
          <w:rFonts w:ascii="Times New Roman" w:hAnsi="Times New Roman"/>
          <w:sz w:val="24"/>
          <w:szCs w:val="24"/>
          <w:lang w:val="de-DE"/>
        </w:rPr>
        <w:t xml:space="preserve">re A. </w:t>
      </w:r>
      <w:r>
        <w:rPr>
          <w:rStyle w:val="AucunAA"/>
          <w:rFonts w:ascii="Times New Roman" w:hAnsi="Times New Roman"/>
          <w:sz w:val="24"/>
          <w:szCs w:val="24"/>
        </w:rPr>
        <w:t>é</w:t>
      </w:r>
      <w:r>
        <w:rPr>
          <w:rStyle w:val="AucunA"/>
          <w:rFonts w:ascii="Times New Roman" w:hAnsi="Times New Roman"/>
          <w:sz w:val="24"/>
          <w:szCs w:val="24"/>
          <w:lang w:val="pt-PT"/>
        </w:rPr>
        <w:t xml:space="preserve">ds., 2013. </w:t>
      </w:r>
      <w:r>
        <w:rPr>
          <w:rStyle w:val="AucunAA"/>
          <w:rFonts w:ascii="Times New Roman" w:hAnsi="Times New Roman"/>
          <w:sz w:val="24"/>
          <w:szCs w:val="24"/>
        </w:rPr>
        <w:t xml:space="preserve">Quand la ville mange la forêt. Les défis du bois-énergie en Afrique Centrale. Editions </w:t>
      </w:r>
      <w:r>
        <w:rPr>
          <w:rStyle w:val="AucunA"/>
          <w:rFonts w:ascii="Times New Roman" w:hAnsi="Times New Roman"/>
          <w:i/>
          <w:iCs/>
          <w:sz w:val="24"/>
          <w:szCs w:val="24"/>
          <w:lang w:val="it-IT"/>
        </w:rPr>
        <w:t>Quae</w:t>
      </w:r>
      <w:r>
        <w:rPr>
          <w:rStyle w:val="AucunAA"/>
          <w:rFonts w:ascii="Times New Roman" w:hAnsi="Times New Roman"/>
          <w:sz w:val="24"/>
          <w:szCs w:val="24"/>
        </w:rPr>
        <w:t>.</w:t>
      </w:r>
    </w:p>
    <w:p w:rsidR="003A53F7" w:rsidRDefault="00670B5E">
      <w:pPr>
        <w:pStyle w:val="ListParagraph"/>
        <w:numPr>
          <w:ilvl w:val="0"/>
          <w:numId w:val="14"/>
        </w:numPr>
        <w:spacing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Marien J.-N.</w:t>
      </w:r>
      <w:r>
        <w:rPr>
          <w:rStyle w:val="AucunA"/>
          <w:sz w:val="24"/>
          <w:szCs w:val="24"/>
        </w:rPr>
        <w:t xml:space="preserve">, </w:t>
      </w:r>
      <w:r>
        <w:rPr>
          <w:rStyle w:val="AucunA"/>
          <w:rFonts w:ascii="Times New Roman" w:hAnsi="Times New Roman"/>
          <w:sz w:val="24"/>
          <w:szCs w:val="24"/>
        </w:rPr>
        <w:t>Mallet B., 2004. Nouvelles perspectives pour les plantations forestières en Afrique centrale. Bois et Forêts des Tropiques, 282 : 67-79.</w:t>
      </w:r>
    </w:p>
    <w:p w:rsidR="003A53F7" w:rsidRDefault="00670B5E">
      <w:pPr>
        <w:pStyle w:val="ListParagraph"/>
        <w:numPr>
          <w:ilvl w:val="0"/>
          <w:numId w:val="14"/>
        </w:numPr>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Marien J.-N.</w:t>
      </w:r>
      <w:r>
        <w:rPr>
          <w:rStyle w:val="AucunA"/>
          <w:sz w:val="24"/>
          <w:szCs w:val="24"/>
        </w:rPr>
        <w:t xml:space="preserve">, </w:t>
      </w:r>
      <w:r>
        <w:rPr>
          <w:rStyle w:val="AucunA"/>
          <w:rFonts w:ascii="Times New Roman" w:hAnsi="Times New Roman"/>
          <w:sz w:val="24"/>
          <w:szCs w:val="24"/>
        </w:rPr>
        <w:t>Gourlet-Fleury S., 2014. Les plantations forestières en Afrique centrale : des sylvicultures nouvelles pour répondre aux nouveaux besoins des sociétés. In: de Wasseige C., Flynn J., Louppe D., Hiol Hiol F., Mayaux Ph., éds. Les Forêts du Ba</w:t>
      </w:r>
      <w:r>
        <w:rPr>
          <w:rStyle w:val="AucunA"/>
          <w:rFonts w:ascii="Times New Roman" w:hAnsi="Times New Roman"/>
          <w:sz w:val="24"/>
          <w:szCs w:val="24"/>
        </w:rPr>
        <w:t>s</w:t>
      </w:r>
      <w:r>
        <w:rPr>
          <w:rStyle w:val="AucunA"/>
          <w:rFonts w:ascii="Times New Roman" w:hAnsi="Times New Roman"/>
          <w:sz w:val="24"/>
          <w:szCs w:val="24"/>
        </w:rPr>
        <w:t>sin du Congo - État des Forêts 2013. Weyrich. Belgique, 328p. ISBN: 978-2-87489-298-1.</w:t>
      </w:r>
    </w:p>
    <w:p w:rsidR="003A53F7" w:rsidRDefault="00670B5E">
      <w:pPr>
        <w:pStyle w:val="ListParagraph"/>
        <w:numPr>
          <w:ilvl w:val="0"/>
          <w:numId w:val="14"/>
        </w:numPr>
        <w:spacing w:after="0" w:line="480" w:lineRule="auto"/>
        <w:rPr>
          <w:rStyle w:val="AucunA"/>
          <w:rFonts w:ascii="Times New Roman" w:eastAsia="Times New Roman" w:hAnsi="Times New Roman" w:cs="Times New Roman"/>
          <w:sz w:val="24"/>
          <w:szCs w:val="24"/>
        </w:rPr>
      </w:pPr>
      <w:r>
        <w:rPr>
          <w:rStyle w:val="AucunA"/>
          <w:rFonts w:ascii="Times New Roman" w:hAnsi="Times New Roman"/>
          <w:sz w:val="24"/>
          <w:szCs w:val="24"/>
        </w:rPr>
        <w:t>Meunier Q., Moumbogou C., Doucet J.-L., 2015. Les arbres utiles du Gabon. 340 p. Edition : les presses agronomiques de Gembloux- Belgique. ISBN : 978-2-87016-134-0.</w:t>
      </w:r>
    </w:p>
    <w:p w:rsidR="003A53F7" w:rsidRDefault="00670B5E">
      <w:pPr>
        <w:pStyle w:val="ListParagraph"/>
        <w:numPr>
          <w:ilvl w:val="0"/>
          <w:numId w:val="14"/>
        </w:numPr>
        <w:spacing w:after="0" w:line="480" w:lineRule="auto"/>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Monthe F.K., Hardy O.J., Doucet J.-L., Loo J., Duminil J., 2017. Extensive seed and pollen dispersal and assortative mating in the rain forest tree </w:t>
      </w:r>
      <w:r>
        <w:rPr>
          <w:rStyle w:val="AucunA"/>
          <w:rFonts w:ascii="Times New Roman" w:hAnsi="Times New Roman"/>
          <w:i/>
          <w:iCs/>
          <w:sz w:val="24"/>
          <w:szCs w:val="24"/>
          <w:lang w:val="en-US"/>
        </w:rPr>
        <w:t>Entandrophragma cyli</w:t>
      </w:r>
      <w:r>
        <w:rPr>
          <w:rStyle w:val="AucunA"/>
          <w:rFonts w:ascii="Times New Roman" w:hAnsi="Times New Roman"/>
          <w:i/>
          <w:iCs/>
          <w:sz w:val="24"/>
          <w:szCs w:val="24"/>
          <w:lang w:val="en-US"/>
        </w:rPr>
        <w:t>n</w:t>
      </w:r>
      <w:r>
        <w:rPr>
          <w:rStyle w:val="AucunA"/>
          <w:rFonts w:ascii="Times New Roman" w:hAnsi="Times New Roman"/>
          <w:i/>
          <w:iCs/>
          <w:sz w:val="24"/>
          <w:szCs w:val="24"/>
          <w:lang w:val="en-US"/>
        </w:rPr>
        <w:t>dricum</w:t>
      </w:r>
      <w:r>
        <w:rPr>
          <w:rStyle w:val="AucunA"/>
          <w:rFonts w:ascii="Times New Roman" w:hAnsi="Times New Roman"/>
          <w:sz w:val="24"/>
          <w:szCs w:val="24"/>
          <w:lang w:val="en-US"/>
        </w:rPr>
        <w:t xml:space="preserve"> (Meliaceae) inferred from indirect and direct analyses. Molecular Ecology</w:t>
      </w:r>
      <w:r>
        <w:rPr>
          <w:rStyle w:val="AucunA"/>
          <w:rFonts w:ascii="Times New Roman" w:hAnsi="Times New Roman"/>
          <w:i/>
          <w:iCs/>
          <w:color w:val="99403D"/>
          <w:sz w:val="24"/>
          <w:szCs w:val="24"/>
          <w:u w:color="99403D"/>
          <w:lang w:val="en-US"/>
        </w:rPr>
        <w:t xml:space="preserve">, </w:t>
      </w:r>
      <w:r>
        <w:rPr>
          <w:rStyle w:val="AucunA"/>
          <w:rFonts w:ascii="Times New Roman" w:hAnsi="Times New Roman"/>
          <w:sz w:val="24"/>
          <w:szCs w:val="24"/>
          <w:lang w:val="en-US"/>
        </w:rPr>
        <w:t>26 : 5279–5291.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Mujuni D.B., 2008. </w:t>
      </w:r>
      <w:r>
        <w:rPr>
          <w:rStyle w:val="AucunA"/>
          <w:rFonts w:ascii="Times New Roman" w:hAnsi="Times New Roman"/>
          <w:i/>
          <w:iCs/>
          <w:sz w:val="24"/>
          <w:szCs w:val="24"/>
          <w:lang w:val="it-IT"/>
        </w:rPr>
        <w:t>Entandrophragma utile</w:t>
      </w:r>
      <w:r>
        <w:rPr>
          <w:rStyle w:val="AucunA"/>
          <w:rFonts w:ascii="Times New Roman" w:hAnsi="Times New Roman"/>
          <w:sz w:val="24"/>
          <w:szCs w:val="24"/>
          <w:lang w:val="it-IT"/>
        </w:rPr>
        <w:t xml:space="preserve"> (Dawe &amp; Sprague) Sprague. </w:t>
      </w:r>
      <w:r>
        <w:rPr>
          <w:rStyle w:val="AucunA"/>
          <w:rFonts w:ascii="Times New Roman" w:hAnsi="Times New Roman"/>
          <w:i/>
          <w:iCs/>
          <w:sz w:val="24"/>
          <w:szCs w:val="24"/>
          <w:lang w:val="en-US"/>
        </w:rPr>
        <w:t>In</w:t>
      </w:r>
      <w:r>
        <w:rPr>
          <w:rStyle w:val="AucunA"/>
          <w:rFonts w:ascii="Times New Roman" w:hAnsi="Times New Roman"/>
          <w:sz w:val="24"/>
          <w:szCs w:val="24"/>
          <w:lang w:val="en-US"/>
        </w:rPr>
        <w:t xml:space="preserve">: Louppe D., Oteng-Amoako A.A., Brink M. eds. </w:t>
      </w:r>
      <w:r>
        <w:rPr>
          <w:rStyle w:val="AucunAA"/>
          <w:rFonts w:ascii="Times New Roman" w:hAnsi="Times New Roman"/>
          <w:sz w:val="24"/>
          <w:szCs w:val="24"/>
        </w:rPr>
        <w:t>PROTA (Plant Resources of Tropical Africa / Ressources végétales de l’Afrique tropicale)</w:t>
      </w:r>
      <w:r>
        <w:rPr>
          <w:rStyle w:val="AucunA"/>
          <w:rFonts w:ascii="Times New Roman" w:hAnsi="Times New Roman"/>
          <w:sz w:val="24"/>
          <w:szCs w:val="24"/>
          <w:lang w:val="nl-NL"/>
        </w:rPr>
        <w:t>, Wageningen, Netherlands. (Consult</w:t>
      </w:r>
      <w:r>
        <w:rPr>
          <w:rStyle w:val="AucunAA"/>
          <w:rFonts w:ascii="Times New Roman" w:hAnsi="Times New Roman"/>
          <w:sz w:val="24"/>
          <w:szCs w:val="24"/>
        </w:rPr>
        <w:t xml:space="preserve">é le 17 juin 2016).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Nyunaï N., 2008. </w:t>
      </w:r>
      <w:r>
        <w:rPr>
          <w:rStyle w:val="AucunA"/>
          <w:rFonts w:ascii="Times New Roman" w:hAnsi="Times New Roman"/>
          <w:i/>
          <w:iCs/>
          <w:sz w:val="24"/>
          <w:szCs w:val="24"/>
          <w:lang w:val="it-IT"/>
        </w:rPr>
        <w:t xml:space="preserve">Entandrophragma candollei </w:t>
      </w:r>
      <w:r>
        <w:rPr>
          <w:rStyle w:val="AucunAA"/>
          <w:rFonts w:ascii="Times New Roman" w:hAnsi="Times New Roman"/>
          <w:sz w:val="24"/>
          <w:szCs w:val="24"/>
        </w:rPr>
        <w:t xml:space="preserve">Harms. </w:t>
      </w:r>
      <w:r>
        <w:rPr>
          <w:rStyle w:val="AucunA"/>
          <w:rFonts w:ascii="Times New Roman" w:hAnsi="Times New Roman"/>
          <w:i/>
          <w:iCs/>
          <w:sz w:val="24"/>
          <w:szCs w:val="24"/>
          <w:lang w:val="en-US"/>
        </w:rPr>
        <w:t>In</w:t>
      </w:r>
      <w:r>
        <w:rPr>
          <w:rStyle w:val="AucunA"/>
          <w:rFonts w:ascii="Times New Roman" w:hAnsi="Times New Roman"/>
          <w:sz w:val="24"/>
          <w:szCs w:val="24"/>
          <w:lang w:val="en-US"/>
        </w:rPr>
        <w:t xml:space="preserve">: Louppe D., Oteng-Amoako A.A., Brink M., eds. </w:t>
      </w:r>
      <w:r>
        <w:rPr>
          <w:rStyle w:val="AucunAA"/>
          <w:rFonts w:ascii="Times New Roman" w:hAnsi="Times New Roman"/>
          <w:sz w:val="24"/>
          <w:szCs w:val="24"/>
        </w:rPr>
        <w:t>PROTA (Plant Resources of Tropical Africa / Ressources végétales de l’Afrique tropicale)</w:t>
      </w:r>
      <w:r>
        <w:rPr>
          <w:rStyle w:val="AucunA"/>
          <w:rFonts w:ascii="Times New Roman" w:hAnsi="Times New Roman"/>
          <w:sz w:val="24"/>
          <w:szCs w:val="24"/>
          <w:lang w:val="nl-NL"/>
        </w:rPr>
        <w:t>, Wageningen, Netherlands. (Consult</w:t>
      </w:r>
      <w:r>
        <w:rPr>
          <w:rStyle w:val="AucunAA"/>
          <w:rFonts w:ascii="Times New Roman" w:hAnsi="Times New Roman"/>
          <w:sz w:val="24"/>
          <w:szCs w:val="24"/>
        </w:rPr>
        <w:t>é le 17 juin 2016).</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pt-PT"/>
        </w:rPr>
      </w:pPr>
      <w:r>
        <w:rPr>
          <w:rStyle w:val="AucunA"/>
          <w:rFonts w:ascii="Times New Roman" w:hAnsi="Times New Roman"/>
          <w:sz w:val="24"/>
          <w:szCs w:val="24"/>
          <w:lang w:val="pt-PT"/>
        </w:rPr>
        <w:t xml:space="preserve">Owona Ndongo P.-A., 2006. </w:t>
      </w:r>
      <w:r>
        <w:rPr>
          <w:rStyle w:val="AucunAA"/>
          <w:rFonts w:ascii="Times New Roman" w:hAnsi="Times New Roman"/>
          <w:sz w:val="24"/>
          <w:szCs w:val="24"/>
        </w:rPr>
        <w:t>Evaluation de la potentialité des plantations forestières au Centre-Sud Cameroun: Résultats des mesures effectuées dans l’arboretum de Mbalmayo et des enquêtes menées en pé</w:t>
      </w:r>
      <w:r>
        <w:rPr>
          <w:rStyle w:val="AucunA"/>
          <w:rFonts w:ascii="Times New Roman" w:hAnsi="Times New Roman"/>
          <w:sz w:val="24"/>
          <w:szCs w:val="24"/>
          <w:lang w:val="nl-NL"/>
        </w:rPr>
        <w:t>riph</w:t>
      </w:r>
      <w:r>
        <w:rPr>
          <w:rStyle w:val="AucunAA"/>
          <w:rFonts w:ascii="Times New Roman" w:hAnsi="Times New Roman"/>
          <w:sz w:val="24"/>
          <w:szCs w:val="24"/>
        </w:rPr>
        <w:t>érie de sa réserve. France-CIRAD.</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pt-PT"/>
        </w:rPr>
      </w:pPr>
      <w:r>
        <w:rPr>
          <w:rStyle w:val="AucunA"/>
          <w:rFonts w:ascii="Times New Roman" w:hAnsi="Times New Roman"/>
          <w:sz w:val="24"/>
          <w:szCs w:val="24"/>
          <w:lang w:val="pt-PT"/>
        </w:rPr>
        <w:lastRenderedPageBreak/>
        <w:t xml:space="preserve">Owona Ndongo P.-A., Peltier R., Linjouom I., Louppe D., Smektala G., Beligné V., </w:t>
      </w:r>
      <w:r>
        <w:rPr>
          <w:rStyle w:val="AucunA"/>
          <w:rFonts w:ascii="Times New Roman" w:hAnsi="Times New Roman"/>
          <w:i/>
          <w:iCs/>
          <w:sz w:val="24"/>
          <w:szCs w:val="24"/>
          <w:lang w:val="pt-PT"/>
        </w:rPr>
        <w:t>et al.</w:t>
      </w:r>
      <w:r>
        <w:rPr>
          <w:rStyle w:val="AucunA"/>
          <w:rFonts w:ascii="Times New Roman" w:hAnsi="Times New Roman"/>
          <w:sz w:val="24"/>
          <w:szCs w:val="24"/>
          <w:lang w:val="pt-PT"/>
        </w:rPr>
        <w:t xml:space="preserve">, 2009. </w:t>
      </w:r>
      <w:r>
        <w:rPr>
          <w:rStyle w:val="AucunAA"/>
          <w:rFonts w:ascii="Times New Roman" w:hAnsi="Times New Roman"/>
          <w:sz w:val="24"/>
          <w:szCs w:val="24"/>
        </w:rPr>
        <w:t>Plantations de bois d’œuvre en zone équatoriale africaine : cas de l’</w:t>
      </w:r>
      <w:r>
        <w:rPr>
          <w:rStyle w:val="AucunA"/>
          <w:rFonts w:ascii="Times New Roman" w:hAnsi="Times New Roman"/>
          <w:sz w:val="24"/>
          <w:szCs w:val="24"/>
          <w:lang w:val="pt-PT"/>
        </w:rPr>
        <w:t>arboretum de l</w:t>
      </w:r>
      <w:r>
        <w:rPr>
          <w:rStyle w:val="AucunAA"/>
          <w:rFonts w:ascii="Times New Roman" w:hAnsi="Times New Roman"/>
          <w:sz w:val="24"/>
          <w:szCs w:val="24"/>
        </w:rPr>
        <w:t xml:space="preserve">’Enef de Mbalmayo au sud du Cameroun. </w:t>
      </w:r>
      <w:r>
        <w:rPr>
          <w:rStyle w:val="AucunA"/>
          <w:rFonts w:ascii="Times New Roman" w:hAnsi="Times New Roman"/>
          <w:sz w:val="24"/>
          <w:szCs w:val="24"/>
          <w:lang w:val="en-US"/>
        </w:rPr>
        <w:t>Bois et Forêts des Tropiques, 299:</w:t>
      </w:r>
      <w:r>
        <w:rPr>
          <w:rStyle w:val="AucunA"/>
          <w:rFonts w:ascii="Times New Roman" w:hAnsi="Times New Roman"/>
          <w:b/>
          <w:bCs/>
          <w:sz w:val="24"/>
          <w:szCs w:val="24"/>
          <w:lang w:val="en-US"/>
        </w:rPr>
        <w:t xml:space="preserve"> </w:t>
      </w:r>
      <w:r>
        <w:rPr>
          <w:rStyle w:val="AucunA"/>
          <w:rFonts w:ascii="Times New Roman" w:hAnsi="Times New Roman"/>
          <w:sz w:val="24"/>
          <w:szCs w:val="24"/>
          <w:lang w:val="en-US"/>
        </w:rPr>
        <w:t>37-48.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Palla F., Louppe D., Forni E., 2002. </w:t>
      </w:r>
      <w:r>
        <w:rPr>
          <w:rStyle w:val="AucunAA"/>
          <w:rFonts w:ascii="Times New Roman" w:hAnsi="Times New Roman"/>
          <w:sz w:val="24"/>
          <w:szCs w:val="24"/>
        </w:rPr>
        <w:t>Sapelli. Fiche technique, écologique et sylvicole.</w:t>
      </w:r>
      <w:r>
        <w:rPr>
          <w:rStyle w:val="AucunA"/>
          <w:rFonts w:ascii="Times New Roman" w:hAnsi="Times New Roman"/>
          <w:i/>
          <w:iCs/>
          <w:sz w:val="24"/>
          <w:szCs w:val="24"/>
        </w:rPr>
        <w:t xml:space="preserve"> </w:t>
      </w:r>
      <w:r>
        <w:rPr>
          <w:rStyle w:val="AucunA"/>
          <w:rFonts w:ascii="Times New Roman" w:hAnsi="Times New Roman"/>
          <w:sz w:val="24"/>
          <w:szCs w:val="24"/>
          <w:lang w:val="nl-NL"/>
        </w:rPr>
        <w:t xml:space="preserve">Montpellier, France: CIRAD-Forêt.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it-IT"/>
        </w:rPr>
      </w:pPr>
      <w:r>
        <w:rPr>
          <w:rStyle w:val="AucunA"/>
          <w:rFonts w:ascii="Times New Roman" w:hAnsi="Times New Roman"/>
          <w:sz w:val="24"/>
          <w:szCs w:val="24"/>
          <w:lang w:val="it-IT"/>
        </w:rPr>
        <w:t xml:space="preserve">Petrucci Y., Tandeau de Marsac G., Morel P. J., 1995. </w:t>
      </w:r>
      <w:r>
        <w:rPr>
          <w:rStyle w:val="AucunAA"/>
          <w:rFonts w:ascii="Times New Roman" w:hAnsi="Times New Roman"/>
          <w:sz w:val="24"/>
          <w:szCs w:val="24"/>
        </w:rPr>
        <w:t>Évolution du peuplement adulte et de la régénération acquise après interventions sylvicoles. Dispositif de recherche en forêt dense de Boukoko-La Lolé. Appui à la recherche forestière Fac/Arf. Bangui, République centrafricaine, Ministère des Eaux, Forêts, Chasse et Pê</w:t>
      </w:r>
      <w:r>
        <w:rPr>
          <w:rStyle w:val="AucunA"/>
          <w:rFonts w:ascii="Times New Roman" w:hAnsi="Times New Roman"/>
          <w:sz w:val="24"/>
          <w:szCs w:val="24"/>
          <w:lang w:val="it-IT"/>
        </w:rPr>
        <w:t>che, 55 p.</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 </w:t>
      </w:r>
      <w:r>
        <w:rPr>
          <w:rStyle w:val="AucunA"/>
          <w:rFonts w:ascii="Times New Roman" w:hAnsi="Times New Roman"/>
          <w:sz w:val="24"/>
          <w:szCs w:val="24"/>
          <w:lang w:val="en-US"/>
        </w:rPr>
        <w:t>Plumptre A.J., 1995. The importance of “seed trees” for the natural regeneration of selectively logged tropical forest. Commonwealth Forestry Revew</w:t>
      </w:r>
      <w:r>
        <w:rPr>
          <w:rStyle w:val="AucunAA"/>
          <w:rFonts w:ascii="Times New Roman" w:hAnsi="Times New Roman"/>
          <w:sz w:val="24"/>
          <w:szCs w:val="24"/>
        </w:rPr>
        <w:t xml:space="preserve">, </w:t>
      </w:r>
      <w:r>
        <w:rPr>
          <w:rStyle w:val="AucunA"/>
          <w:rFonts w:ascii="Times New Roman" w:hAnsi="Times New Roman"/>
          <w:sz w:val="24"/>
          <w:szCs w:val="24"/>
          <w:lang w:val="ru-RU"/>
        </w:rPr>
        <w:t>74</w:t>
      </w:r>
      <w:r>
        <w:rPr>
          <w:rStyle w:val="AucunAA"/>
          <w:rFonts w:ascii="Times New Roman" w:hAnsi="Times New Roman"/>
          <w:sz w:val="24"/>
          <w:szCs w:val="24"/>
        </w:rPr>
        <w:t>: 253-258.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Poorter L., Bongers F., Kouamé F.Y.N., Hawthorne W.-D., 2014. </w:t>
      </w:r>
      <w:r>
        <w:rPr>
          <w:rStyle w:val="AucunA"/>
          <w:rFonts w:ascii="Times New Roman" w:hAnsi="Times New Roman"/>
          <w:sz w:val="24"/>
          <w:szCs w:val="24"/>
          <w:lang w:val="en-US"/>
        </w:rPr>
        <w:t xml:space="preserve">Biodiversity of West African Forests An Ecological Atlas of Woody Plant Species. </w:t>
      </w:r>
      <w:r>
        <w:rPr>
          <w:rStyle w:val="AucunA"/>
          <w:rFonts w:ascii="Times New Roman" w:hAnsi="Times New Roman"/>
          <w:sz w:val="24"/>
          <w:szCs w:val="24"/>
          <w:lang w:val="nl-NL"/>
        </w:rPr>
        <w:t>CABI Publishing/CAB International,Wallingford,Oxon, UK.</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Sé</w:t>
      </w:r>
      <w:r>
        <w:rPr>
          <w:rStyle w:val="AucunA"/>
          <w:rFonts w:ascii="Times New Roman" w:hAnsi="Times New Roman"/>
          <w:sz w:val="24"/>
          <w:szCs w:val="24"/>
          <w:lang w:val="de-DE"/>
        </w:rPr>
        <w:t xml:space="preserve">pulchre F., Dainou K., Doucet J-.L., 2008. </w:t>
      </w:r>
      <w:r>
        <w:rPr>
          <w:rStyle w:val="AucunAA"/>
          <w:rFonts w:ascii="Times New Roman" w:hAnsi="Times New Roman"/>
          <w:sz w:val="24"/>
          <w:szCs w:val="24"/>
        </w:rPr>
        <w:t>Etude de la vulné</w:t>
      </w:r>
      <w:r>
        <w:rPr>
          <w:rStyle w:val="AucunA"/>
          <w:rFonts w:ascii="Times New Roman" w:hAnsi="Times New Roman"/>
          <w:sz w:val="24"/>
          <w:szCs w:val="24"/>
          <w:lang w:val="it-IT"/>
        </w:rPr>
        <w:t>rabilit</w:t>
      </w:r>
      <w:r>
        <w:rPr>
          <w:rStyle w:val="AucunAA"/>
          <w:rFonts w:ascii="Times New Roman" w:hAnsi="Times New Roman"/>
          <w:sz w:val="24"/>
          <w:szCs w:val="24"/>
        </w:rPr>
        <w:t>é de 18 essences ligneuses commerciales d'Afrique Centrale reprises sur la liste rouge de l’UICN. Faculté Universitaire des Sciences Agronomiques de Gembloux.</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Staner P., Gilbert G., 1958. Meliaceae</w:t>
      </w:r>
      <w:r>
        <w:rPr>
          <w:rStyle w:val="AucunA"/>
          <w:rFonts w:ascii="Times New Roman" w:hAnsi="Times New Roman"/>
          <w:i/>
          <w:iCs/>
          <w:sz w:val="24"/>
          <w:szCs w:val="24"/>
          <w:lang w:val="en-US"/>
        </w:rPr>
        <w:t xml:space="preserve">. </w:t>
      </w:r>
      <w:r>
        <w:rPr>
          <w:rStyle w:val="AucunA"/>
          <w:rFonts w:ascii="Times New Roman" w:hAnsi="Times New Roman"/>
          <w:i/>
          <w:iCs/>
          <w:sz w:val="24"/>
          <w:szCs w:val="24"/>
        </w:rPr>
        <w:t>In</w:t>
      </w:r>
      <w:r>
        <w:rPr>
          <w:rStyle w:val="AucunAA"/>
          <w:rFonts w:ascii="Times New Roman" w:hAnsi="Times New Roman"/>
          <w:sz w:val="24"/>
          <w:szCs w:val="24"/>
        </w:rPr>
        <w:t xml:space="preserve">: INEAC (Institut National pour l'Etude Agronomique au Congo). Comité exécutif de la flore du Congo Belge et le Jardin Botanique de l'Etat, 1958. Flore du Congo Belge et du Rwanda-Urundi. INEAC, Vol VII, Bruxelles. 213 p.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Eckebil</w:t>
      </w:r>
      <w:r>
        <w:rPr>
          <w:rStyle w:val="AucunA"/>
          <w:rFonts w:ascii="Times New Roman" w:hAnsi="Times New Roman"/>
          <w:sz w:val="24"/>
          <w:szCs w:val="24"/>
          <w:lang w:val="de-DE"/>
        </w:rPr>
        <w:t xml:space="preserve"> P.P.T., Verheggen F., Doucet J.-L., Malaisse F., Da</w:t>
      </w:r>
      <w:r>
        <w:rPr>
          <w:rStyle w:val="AucunAA"/>
          <w:rFonts w:ascii="Times New Roman" w:hAnsi="Times New Roman"/>
          <w:sz w:val="24"/>
          <w:szCs w:val="24"/>
        </w:rPr>
        <w:t>ï</w:t>
      </w:r>
      <w:r>
        <w:rPr>
          <w:rStyle w:val="AucunA"/>
          <w:rFonts w:ascii="Times New Roman" w:hAnsi="Times New Roman"/>
          <w:sz w:val="24"/>
          <w:szCs w:val="24"/>
          <w:lang w:val="it-IT"/>
        </w:rPr>
        <w:t>nou K., Cerutti P</w:t>
      </w:r>
      <w:r>
        <w:rPr>
          <w:rStyle w:val="AucunAA"/>
          <w:rFonts w:ascii="Times New Roman" w:hAnsi="Times New Roman"/>
          <w:sz w:val="24"/>
          <w:szCs w:val="24"/>
        </w:rPr>
        <w:t> </w:t>
      </w:r>
      <w:r>
        <w:rPr>
          <w:rStyle w:val="AucunA"/>
          <w:rFonts w:ascii="Times New Roman" w:hAnsi="Times New Roman"/>
          <w:sz w:val="24"/>
          <w:szCs w:val="24"/>
          <w:lang w:val="nl-NL"/>
        </w:rPr>
        <w:t xml:space="preserve">.O., </w:t>
      </w:r>
      <w:r>
        <w:rPr>
          <w:rStyle w:val="AucunA"/>
          <w:rFonts w:ascii="Times New Roman" w:hAnsi="Times New Roman"/>
          <w:i/>
          <w:iCs/>
          <w:sz w:val="24"/>
          <w:szCs w:val="24"/>
          <w:lang w:val="nl-NL"/>
        </w:rPr>
        <w:t>et al.</w:t>
      </w:r>
      <w:r>
        <w:rPr>
          <w:rStyle w:val="AucunA"/>
          <w:rFonts w:ascii="Times New Roman" w:hAnsi="Times New Roman"/>
          <w:sz w:val="24"/>
          <w:szCs w:val="24"/>
          <w:lang w:val="nl-NL"/>
        </w:rPr>
        <w:t xml:space="preserve">, 2017. </w:t>
      </w:r>
      <w:r>
        <w:rPr>
          <w:rStyle w:val="AucunA"/>
          <w:rFonts w:ascii="Times New Roman" w:hAnsi="Times New Roman"/>
          <w:i/>
          <w:iCs/>
          <w:sz w:val="24"/>
          <w:szCs w:val="24"/>
        </w:rPr>
        <w:t>Entandrophragma cylindricum</w:t>
      </w:r>
      <w:r>
        <w:rPr>
          <w:rStyle w:val="AucunA"/>
          <w:rFonts w:ascii="Times New Roman" w:hAnsi="Times New Roman"/>
          <w:sz w:val="24"/>
          <w:szCs w:val="24"/>
          <w:lang w:val="it-IT"/>
        </w:rPr>
        <w:t xml:space="preserve"> (Sprague) Sprague (Meliaceae), une esp</w:t>
      </w:r>
      <w:r>
        <w:rPr>
          <w:rStyle w:val="AucunAA"/>
          <w:rFonts w:ascii="Times New Roman" w:hAnsi="Times New Roman"/>
          <w:sz w:val="24"/>
          <w:szCs w:val="24"/>
        </w:rPr>
        <w:t xml:space="preserve">èce </w:t>
      </w:r>
      <w:r>
        <w:rPr>
          <w:rStyle w:val="AucunAA"/>
          <w:rFonts w:ascii="Times New Roman" w:hAnsi="Times New Roman"/>
          <w:sz w:val="24"/>
          <w:szCs w:val="24"/>
        </w:rPr>
        <w:lastRenderedPageBreak/>
        <w:t xml:space="preserve">ligneuse concurrentielle en Afrique centrale (synthèse bibliographique). </w:t>
      </w:r>
      <w:r>
        <w:rPr>
          <w:rStyle w:val="AucunA"/>
          <w:rFonts w:ascii="Times New Roman" w:hAnsi="Times New Roman"/>
          <w:sz w:val="24"/>
          <w:szCs w:val="24"/>
          <w:lang w:val="pt-PT"/>
        </w:rPr>
        <w:t>Biotechnologie Agronomie Société et Environnement</w:t>
      </w:r>
      <w:r>
        <w:rPr>
          <w:rStyle w:val="AucunAA"/>
          <w:rFonts w:ascii="Times New Roman" w:hAnsi="Times New Roman"/>
          <w:sz w:val="24"/>
          <w:szCs w:val="24"/>
        </w:rPr>
        <w:t>, 21: 80-97.</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Tailfer Y., 1989. </w:t>
      </w:r>
      <w:r>
        <w:rPr>
          <w:rStyle w:val="AucunA"/>
          <w:rFonts w:ascii="Times New Roman" w:hAnsi="Times New Roman"/>
          <w:sz w:val="24"/>
          <w:szCs w:val="24"/>
          <w:lang w:val="it-IT"/>
        </w:rPr>
        <w:t>La for</w:t>
      </w:r>
      <w:r>
        <w:rPr>
          <w:rStyle w:val="AucunAA"/>
          <w:rFonts w:ascii="Times New Roman" w:hAnsi="Times New Roman"/>
          <w:sz w:val="24"/>
          <w:szCs w:val="24"/>
        </w:rPr>
        <w:t>êt dense d'Afrique Centrale. Identification pratique des principaux arbres. Tome I. Approche forestière et morphologique. Le Centre Technique de Coopération Agricole et Rurale (CTA). Postbus 380, 6700 AJ Wangeninger. Pays-Bas.</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Tchinda A.T., 2008. </w:t>
      </w:r>
      <w:r>
        <w:rPr>
          <w:rStyle w:val="AucunA"/>
          <w:rFonts w:ascii="Times New Roman" w:hAnsi="Times New Roman"/>
          <w:i/>
          <w:iCs/>
          <w:sz w:val="24"/>
          <w:szCs w:val="24"/>
          <w:lang w:val="nl-NL"/>
        </w:rPr>
        <w:t xml:space="preserve">Entandrophragma angolense </w:t>
      </w:r>
      <w:r>
        <w:rPr>
          <w:rStyle w:val="AucunA"/>
          <w:rFonts w:ascii="Times New Roman" w:hAnsi="Times New Roman"/>
          <w:sz w:val="24"/>
          <w:szCs w:val="24"/>
          <w:lang w:val="nl-NL"/>
        </w:rPr>
        <w:t xml:space="preserve">(Welw.) C.DC. </w:t>
      </w:r>
      <w:r>
        <w:rPr>
          <w:rStyle w:val="AucunA"/>
          <w:rFonts w:ascii="Times New Roman" w:hAnsi="Times New Roman"/>
          <w:i/>
          <w:iCs/>
          <w:sz w:val="24"/>
          <w:szCs w:val="24"/>
          <w:lang w:val="nl-NL"/>
        </w:rPr>
        <w:t>In</w:t>
      </w:r>
      <w:r>
        <w:rPr>
          <w:rStyle w:val="AucunA"/>
          <w:rFonts w:ascii="Times New Roman" w:hAnsi="Times New Roman"/>
          <w:sz w:val="24"/>
          <w:szCs w:val="24"/>
          <w:lang w:val="nl-NL"/>
        </w:rPr>
        <w:t xml:space="preserve">: Louppe D., Oteng-Amoako A.A., Brink M., eds. PROTA (Plant Resources of Tropical Africa/Ressources végétales de l’Afrique tropicale), Wageningen, Netherlands. </w:t>
      </w:r>
      <w:r>
        <w:rPr>
          <w:rStyle w:val="AucunAA"/>
          <w:rFonts w:ascii="Times New Roman" w:hAnsi="Times New Roman"/>
          <w:sz w:val="24"/>
          <w:szCs w:val="24"/>
        </w:rPr>
        <w:t>(Consulté le 17 juin 2016).</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Temgoua L., Njouka R., Peltier R., 2011. Plantations ingénieuses de bois d’œuvre par les paysans de l’Ouest-Cameroun. Bois et Forêts des Tropiques, 309 : 63-76.</w:t>
      </w:r>
    </w:p>
    <w:p w:rsidR="003A53F7" w:rsidRDefault="00670B5E">
      <w:pPr>
        <w:pStyle w:val="CorpsA"/>
        <w:numPr>
          <w:ilvl w:val="0"/>
          <w:numId w:val="13"/>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t xml:space="preserve">Tiayon F., Molnar A., 2012. Perspectives comparatives de l’exploitation artisanale du bois en RD Congo : évolution des politiques et des pratiques. </w:t>
      </w:r>
      <w:r>
        <w:rPr>
          <w:rStyle w:val="AucunA"/>
          <w:rFonts w:ascii="Times New Roman" w:hAnsi="Times New Roman"/>
          <w:i/>
          <w:iCs/>
          <w:sz w:val="24"/>
          <w:szCs w:val="24"/>
        </w:rPr>
        <w:t>In</w:t>
      </w:r>
      <w:r>
        <w:rPr>
          <w:rStyle w:val="AucunA"/>
          <w:rFonts w:ascii="Times New Roman" w:hAnsi="Times New Roman"/>
          <w:sz w:val="24"/>
          <w:szCs w:val="24"/>
        </w:rPr>
        <w:t xml:space="preserve">: Benneker C., Assumani D-M., Maindo A., Bola F., Kimbuani G., Lescuyer G., </w:t>
      </w:r>
      <w:r>
        <w:rPr>
          <w:rStyle w:val="AucunA"/>
          <w:rFonts w:ascii="Times New Roman" w:hAnsi="Times New Roman"/>
          <w:i/>
          <w:iCs/>
          <w:sz w:val="24"/>
          <w:szCs w:val="24"/>
        </w:rPr>
        <w:t>et al.</w:t>
      </w:r>
      <w:r>
        <w:rPr>
          <w:rStyle w:val="AucunA"/>
          <w:rFonts w:ascii="Times New Roman" w:hAnsi="Times New Roman"/>
          <w:sz w:val="24"/>
          <w:szCs w:val="24"/>
        </w:rPr>
        <w:t>, éds. Le bois à l’ordre du jour. Exploitation artisanale de bois d’œuvre en RD Congo : secteur porteur d’espoir pour le développement des petites et moyennes entreprises. Wageningen, Pays-Bas : Tropenbos, 133-135.</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Tieguhong J.C., Snook L., Taedoumg H., Maukonen P., Tchatat M., Loo J., </w:t>
      </w:r>
      <w:r>
        <w:rPr>
          <w:rStyle w:val="AucunA"/>
          <w:rFonts w:ascii="Times New Roman" w:hAnsi="Times New Roman"/>
          <w:i/>
          <w:iCs/>
          <w:sz w:val="24"/>
          <w:szCs w:val="24"/>
        </w:rPr>
        <w:t>et al.</w:t>
      </w:r>
      <w:r>
        <w:rPr>
          <w:rStyle w:val="AucunAA"/>
          <w:rFonts w:ascii="Times New Roman" w:hAnsi="Times New Roman"/>
          <w:sz w:val="24"/>
          <w:szCs w:val="24"/>
        </w:rPr>
        <w:t xml:space="preserve">, 2017. </w:t>
      </w:r>
      <w:r>
        <w:rPr>
          <w:rStyle w:val="AucunA"/>
          <w:rFonts w:ascii="Times New Roman" w:hAnsi="Times New Roman"/>
          <w:sz w:val="24"/>
          <w:szCs w:val="24"/>
          <w:lang w:val="en-US"/>
        </w:rPr>
        <w:t xml:space="preserve">Beyond Timber: balancing demands for tree resources between concessionaires and villagers. </w:t>
      </w:r>
      <w:r>
        <w:rPr>
          <w:rStyle w:val="AucunAA"/>
          <w:rFonts w:ascii="Times New Roman" w:hAnsi="Times New Roman"/>
          <w:sz w:val="24"/>
          <w:szCs w:val="24"/>
        </w:rPr>
        <w:t xml:space="preserve">International Forestry Revew, 19(S2). </w:t>
      </w:r>
    </w:p>
    <w:p w:rsidR="003A53F7" w:rsidRDefault="00670B5E">
      <w:pPr>
        <w:pStyle w:val="CorpsA"/>
        <w:numPr>
          <w:ilvl w:val="0"/>
          <w:numId w:val="16"/>
        </w:numPr>
        <w:suppressAutoHyphens/>
        <w:spacing w:after="0" w:line="480" w:lineRule="auto"/>
        <w:jc w:val="both"/>
        <w:rPr>
          <w:rStyle w:val="AucunA"/>
          <w:rFonts w:ascii="Times New Roman" w:eastAsia="Times New Roman" w:hAnsi="Times New Roman" w:cs="Times New Roman"/>
          <w:sz w:val="24"/>
          <w:szCs w:val="24"/>
          <w:lang w:val="nl-NL"/>
        </w:rPr>
      </w:pPr>
      <w:r>
        <w:rPr>
          <w:rStyle w:val="AucunA"/>
          <w:rFonts w:ascii="Times New Roman" w:hAnsi="Times New Roman"/>
          <w:sz w:val="24"/>
          <w:szCs w:val="24"/>
          <w:lang w:val="nl-NL"/>
        </w:rPr>
        <w:t xml:space="preserve">Tshimpanga P., Lescuyer G., Vleminckx J., Adebu B., Lokombe D., 2016. </w:t>
      </w:r>
      <w:r>
        <w:rPr>
          <w:rStyle w:val="AucunAA"/>
          <w:rFonts w:ascii="Times New Roman" w:hAnsi="Times New Roman"/>
          <w:sz w:val="24"/>
          <w:szCs w:val="24"/>
        </w:rPr>
        <w:t>Utilité d’une typologie des exploitants artisanaux de bois pour contribuer à la formulation d’une politique publique en province Orientale (RD Congo). Biotechnologie Agronomie Société et Environnement,</w:t>
      </w:r>
      <w:r>
        <w:rPr>
          <w:rStyle w:val="AucunA"/>
          <w:sz w:val="24"/>
          <w:szCs w:val="24"/>
        </w:rPr>
        <w:t xml:space="preserve"> </w:t>
      </w:r>
      <w:r>
        <w:rPr>
          <w:rStyle w:val="AucunAA"/>
          <w:rFonts w:ascii="Times New Roman" w:hAnsi="Times New Roman"/>
          <w:sz w:val="24"/>
          <w:szCs w:val="24"/>
        </w:rPr>
        <w:t>20: 468-481.</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
          <w:rFonts w:ascii="Times New Roman" w:hAnsi="Times New Roman"/>
          <w:sz w:val="24"/>
          <w:szCs w:val="24"/>
        </w:rPr>
        <w:lastRenderedPageBreak/>
        <w:t>UICN [Union Internationale pour la Conservation de la Nature], 2003. Lignes Directrices pour l’Application, au Niveau Régional, des Critères de l’UICN pour la Liste Rouge. IUCN, Gland, Suisse et Cambridge, Royaume-Uni, 26 p.</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UICN [Union Internationale pour la Conservation de la Nature], 2012. Catégories et Critères de la Liste rouge de l’</w:t>
      </w:r>
      <w:r>
        <w:rPr>
          <w:rStyle w:val="AucunA"/>
          <w:rFonts w:ascii="Times New Roman" w:hAnsi="Times New Roman"/>
          <w:sz w:val="24"/>
          <w:szCs w:val="24"/>
          <w:lang w:val="de-DE"/>
        </w:rPr>
        <w:t>UICN : Version 3.1</w:t>
      </w:r>
      <w:r>
        <w:rPr>
          <w:rStyle w:val="AucunAA"/>
          <w:rFonts w:ascii="Times New Roman" w:hAnsi="Times New Roman"/>
          <w:sz w:val="24"/>
          <w:szCs w:val="24"/>
        </w:rPr>
        <w:t xml:space="preserve">. Deuxième édition. Gland, Suisse et Cambridge, Royaume-Uni : UICN. vi + 32 pp. Originalement publié en tant que </w:t>
      </w:r>
      <w:r>
        <w:rPr>
          <w:rStyle w:val="AucunA"/>
          <w:rFonts w:ascii="Times New Roman" w:hAnsi="Times New Roman"/>
          <w:sz w:val="24"/>
          <w:szCs w:val="24"/>
          <w:lang w:val="de-DE"/>
        </w:rPr>
        <w:t>IUCN Red List Categories and Criteria : Version 3.1</w:t>
      </w:r>
      <w:r>
        <w:rPr>
          <w:rStyle w:val="AucunAA"/>
          <w:rFonts w:ascii="Times New Roman" w:hAnsi="Times New Roman"/>
          <w:sz w:val="24"/>
          <w:szCs w:val="24"/>
        </w:rPr>
        <w:t>. Second edition. (Gland, Switzerland and Cambridge, UK: IUCN, 2012).</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 xml:space="preserve">Van der Sleen P., Groenendijk P., Zuidema P.A., 2015. Tree-ring </w:t>
      </w:r>
      <w:r>
        <w:rPr>
          <w:rStyle w:val="AucunAA"/>
          <w:rFonts w:ascii="Times New Roman" w:hAnsi="Times New Roman"/>
          <w:sz w:val="24"/>
          <w:szCs w:val="24"/>
        </w:rPr>
        <w:t>δ</w:t>
      </w:r>
      <w:r>
        <w:rPr>
          <w:rStyle w:val="AucunA"/>
          <w:rFonts w:ascii="Times New Roman" w:hAnsi="Times New Roman"/>
          <w:sz w:val="24"/>
          <w:szCs w:val="24"/>
          <w:vertAlign w:val="superscript"/>
          <w:lang w:val="en-US"/>
        </w:rPr>
        <w:t>18</w:t>
      </w:r>
      <w:r>
        <w:rPr>
          <w:rStyle w:val="AucunA"/>
          <w:rFonts w:ascii="Times New Roman" w:hAnsi="Times New Roman"/>
          <w:sz w:val="24"/>
          <w:szCs w:val="24"/>
          <w:lang w:val="en-US"/>
        </w:rPr>
        <w:t>O in African mahogany (</w:t>
      </w:r>
      <w:r>
        <w:rPr>
          <w:rStyle w:val="AucunA"/>
          <w:rFonts w:ascii="Times New Roman" w:hAnsi="Times New Roman"/>
          <w:i/>
          <w:iCs/>
          <w:sz w:val="24"/>
          <w:szCs w:val="24"/>
          <w:lang w:val="it-IT"/>
        </w:rPr>
        <w:t>Entandrophragma utile</w:t>
      </w:r>
      <w:r>
        <w:rPr>
          <w:rStyle w:val="AucunA"/>
          <w:rFonts w:ascii="Times New Roman" w:hAnsi="Times New Roman"/>
          <w:sz w:val="24"/>
          <w:szCs w:val="24"/>
          <w:lang w:val="en-US"/>
        </w:rPr>
        <w:t xml:space="preserve">) records regional precipitation and can be used for climate reconstructions. Global and Planetary Change, 127: 58-66. </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color w:val="212121"/>
          <w:sz w:val="24"/>
          <w:szCs w:val="24"/>
          <w:u w:color="212121"/>
          <w:lang w:val="nl-NL"/>
        </w:rPr>
      </w:pPr>
      <w:r>
        <w:rPr>
          <w:rStyle w:val="AucunA"/>
          <w:rFonts w:ascii="Times New Roman" w:hAnsi="Times New Roman"/>
          <w:sz w:val="24"/>
          <w:szCs w:val="24"/>
          <w:lang w:val="nl-NL"/>
        </w:rPr>
        <w:t xml:space="preserve">Vermeulen C., Schippers C., Ntoune M.F.D, Bracke C., 2009. </w:t>
      </w:r>
      <w:r>
        <w:rPr>
          <w:rStyle w:val="AucunA"/>
          <w:rFonts w:ascii="Times New Roman" w:hAnsi="Times New Roman"/>
          <w:sz w:val="24"/>
          <w:szCs w:val="24"/>
        </w:rPr>
        <w:t xml:space="preserve">Enjeux méthodologiques autour des produits forestiers non ligneux dans le cadre de la certification en Afrique centrale. </w:t>
      </w:r>
      <w:r>
        <w:rPr>
          <w:rStyle w:val="AucunA"/>
          <w:rFonts w:ascii="Times New Roman" w:hAnsi="Times New Roman"/>
          <w:sz w:val="24"/>
          <w:szCs w:val="24"/>
          <w:lang w:val="en-US"/>
        </w:rPr>
        <w:t>Bois et Forêts des Tropiques, 300: 69-78.</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lang w:val="en-US"/>
        </w:rPr>
      </w:pPr>
      <w:r>
        <w:rPr>
          <w:rStyle w:val="AucunA"/>
          <w:rFonts w:ascii="Times New Roman" w:hAnsi="Times New Roman"/>
          <w:sz w:val="24"/>
          <w:szCs w:val="24"/>
          <w:lang w:val="en-US"/>
        </w:rPr>
        <w:t>White L., Gasson P., 2008. Mahagony. Royal Botanic Gardens, Kew, Richmond, Surrey, TW9 3AB, UK.</w:t>
      </w:r>
    </w:p>
    <w:p w:rsidR="003A53F7" w:rsidRDefault="00670B5E">
      <w:pPr>
        <w:pStyle w:val="CorpsA"/>
        <w:numPr>
          <w:ilvl w:val="0"/>
          <w:numId w:val="14"/>
        </w:numPr>
        <w:suppressAutoHyphens/>
        <w:spacing w:after="0" w:line="480" w:lineRule="auto"/>
        <w:jc w:val="both"/>
        <w:rPr>
          <w:rStyle w:val="AucunA"/>
          <w:rFonts w:ascii="Times New Roman" w:eastAsia="Times New Roman" w:hAnsi="Times New Roman" w:cs="Times New Roman"/>
          <w:sz w:val="24"/>
          <w:szCs w:val="24"/>
        </w:rPr>
      </w:pPr>
      <w:r>
        <w:rPr>
          <w:rStyle w:val="AucunAA"/>
          <w:rFonts w:ascii="Times New Roman" w:hAnsi="Times New Roman"/>
          <w:sz w:val="24"/>
          <w:szCs w:val="24"/>
        </w:rPr>
        <w:t xml:space="preserve">Yalibanda Y., 1999. Phénologie en forêt dense de Ngotto (Rca). Bilan de trois années d’observation. </w:t>
      </w:r>
      <w:r>
        <w:rPr>
          <w:rStyle w:val="AucunA"/>
          <w:rFonts w:ascii="Times New Roman" w:hAnsi="Times New Roman"/>
          <w:i/>
          <w:iCs/>
          <w:sz w:val="24"/>
          <w:szCs w:val="24"/>
        </w:rPr>
        <w:t>In</w:t>
      </w:r>
      <w:r>
        <w:rPr>
          <w:rStyle w:val="AucunAA"/>
          <w:rFonts w:ascii="Times New Roman" w:hAnsi="Times New Roman"/>
          <w:sz w:val="24"/>
          <w:szCs w:val="24"/>
        </w:rPr>
        <w:t>: Nasi R., Amsallem I., Drouineau S. (éds). La gestion des forêts denses africaines aujourd’</w:t>
      </w:r>
      <w:r>
        <w:rPr>
          <w:rStyle w:val="AucunA"/>
          <w:rFonts w:ascii="Times New Roman" w:hAnsi="Times New Roman"/>
          <w:sz w:val="24"/>
          <w:szCs w:val="24"/>
          <w:lang w:val="nl-NL"/>
        </w:rPr>
        <w:t>hui</w:t>
      </w:r>
      <w:r>
        <w:rPr>
          <w:rStyle w:val="AucunAA"/>
          <w:rFonts w:ascii="Times New Roman" w:hAnsi="Times New Roman"/>
          <w:sz w:val="24"/>
          <w:szCs w:val="24"/>
        </w:rPr>
        <w:t>. Actes du séminaire Forafri de Libreville (Gabon), 12-16 octobre 1998. Montpellier, France, Cirad-forêt, cédérom, 24 p.</w:t>
      </w:r>
    </w:p>
    <w:p w:rsidR="003A53F7" w:rsidRDefault="00670B5E">
      <w:pPr>
        <w:pStyle w:val="CorpsA"/>
      </w:pPr>
      <w:r>
        <w:rPr>
          <w:rStyle w:val="AucunA"/>
          <w:rFonts w:ascii="Arial Unicode MS" w:eastAsia="Arial Unicode MS" w:hAnsi="Arial Unicode MS" w:cs="Arial Unicode MS"/>
          <w:shd w:val="clear" w:color="auto" w:fill="FFFFFF"/>
        </w:rPr>
        <w:br w:type="page"/>
      </w:r>
    </w:p>
    <w:p w:rsidR="003A53F7" w:rsidRDefault="00670B5E">
      <w:pPr>
        <w:pStyle w:val="CorpsA"/>
        <w:widowControl w:val="0"/>
        <w:suppressAutoHyphens/>
        <w:spacing w:line="480" w:lineRule="auto"/>
        <w:jc w:val="both"/>
        <w:rPr>
          <w:rStyle w:val="AucunA"/>
          <w:rFonts w:ascii="Times New Roman" w:eastAsia="Times New Roman" w:hAnsi="Times New Roman" w:cs="Times New Roman"/>
          <w:i/>
          <w:iCs/>
        </w:rPr>
      </w:pPr>
      <w:r>
        <w:rPr>
          <w:rStyle w:val="AucunA"/>
          <w:rFonts w:ascii="Times New Roman" w:hAnsi="Times New Roman"/>
          <w:b/>
          <w:bCs/>
        </w:rPr>
        <w:lastRenderedPageBreak/>
        <w:t xml:space="preserve">Tableau I. </w:t>
      </w:r>
      <w:r>
        <w:rPr>
          <w:rStyle w:val="AucunA"/>
          <w:rFonts w:ascii="Times New Roman" w:hAnsi="Times New Roman"/>
        </w:rPr>
        <w:t>Accroissement diamétrique annuel moyen des espèces d’</w:t>
      </w:r>
      <w:r>
        <w:rPr>
          <w:rStyle w:val="AucunA"/>
          <w:rFonts w:ascii="Times New Roman" w:hAnsi="Times New Roman"/>
          <w:i/>
          <w:iCs/>
        </w:rPr>
        <w:t xml:space="preserve">Entandrophragma </w:t>
      </w:r>
    </w:p>
    <w:p w:rsidR="003A53F7" w:rsidRDefault="00670B5E">
      <w:pPr>
        <w:pStyle w:val="CorpsA"/>
        <w:widowControl w:val="0"/>
        <w:suppressAutoHyphens/>
        <w:spacing w:line="480" w:lineRule="auto"/>
        <w:jc w:val="both"/>
        <w:rPr>
          <w:rStyle w:val="AucunA"/>
          <w:rFonts w:ascii="Times New Roman" w:eastAsia="Times New Roman" w:hAnsi="Times New Roman" w:cs="Times New Roman"/>
        </w:rPr>
      </w:pPr>
      <w:r>
        <w:rPr>
          <w:rStyle w:val="AucunA"/>
          <w:rFonts w:ascii="Times New Roman" w:hAnsi="Times New Roman"/>
        </w:rPr>
        <w:t>Cam : Cameroun ; RCA : République Centrafricaine ; CI </w:t>
      </w:r>
      <w:r>
        <w:rPr>
          <w:rStyle w:val="AucunA"/>
          <w:rFonts w:ascii="Times New Roman" w:hAnsi="Times New Roman"/>
          <w:lang w:val="it-IT"/>
        </w:rPr>
        <w:t>: Côte d</w:t>
      </w:r>
      <w:r>
        <w:rPr>
          <w:rStyle w:val="AucunA"/>
          <w:rFonts w:ascii="Times New Roman" w:hAnsi="Times New Roman"/>
        </w:rPr>
        <w:t>’Ivoire ; RC : République du Congo.</w:t>
      </w:r>
    </w:p>
    <w:tbl>
      <w:tblPr>
        <w:tblW w:w="8580" w:type="dxa"/>
        <w:tblInd w:w="55" w:type="dxa"/>
        <w:tblCellMar>
          <w:left w:w="70" w:type="dxa"/>
          <w:right w:w="70" w:type="dxa"/>
        </w:tblCellMar>
        <w:tblLook w:val="04A0" w:firstRow="1" w:lastRow="0" w:firstColumn="1" w:lastColumn="0" w:noHBand="0" w:noVBand="1"/>
      </w:tblPr>
      <w:tblGrid>
        <w:gridCol w:w="1520"/>
        <w:gridCol w:w="1065"/>
        <w:gridCol w:w="816"/>
        <w:gridCol w:w="1089"/>
        <w:gridCol w:w="1207"/>
        <w:gridCol w:w="1040"/>
        <w:gridCol w:w="1843"/>
      </w:tblGrid>
      <w:tr w:rsidR="00752EB1" w:rsidRPr="00752EB1" w:rsidTr="00506524">
        <w:trPr>
          <w:trHeight w:val="300"/>
        </w:trPr>
        <w:tc>
          <w:tcPr>
            <w:tcW w:w="1520" w:type="dxa"/>
            <w:vMerge w:val="restart"/>
            <w:tcBorders>
              <w:top w:val="single" w:sz="4" w:space="0" w:color="auto"/>
              <w:left w:val="nil"/>
              <w:bottom w:val="single" w:sz="4" w:space="0" w:color="000000"/>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
                <w:bCs/>
                <w:i/>
                <w:iCs/>
                <w:color w:val="000000"/>
                <w:sz w:val="22"/>
                <w:szCs w:val="22"/>
                <w:bdr w:val="none" w:sz="0" w:space="0" w:color="auto"/>
                <w:lang w:val="fr-FR" w:eastAsia="fr-FR"/>
              </w:rPr>
            </w:pPr>
            <w:r w:rsidRPr="00752EB1">
              <w:rPr>
                <w:rFonts w:eastAsia="Times New Roman" w:cs="Calibri"/>
                <w:b/>
                <w:bCs/>
                <w:i/>
                <w:iCs/>
                <w:color w:val="000000"/>
                <w:sz w:val="22"/>
                <w:szCs w:val="22"/>
                <w:bdr w:val="none" w:sz="0" w:space="0" w:color="auto"/>
                <w:lang w:val="fr-FR" w:eastAsia="fr-FR"/>
              </w:rPr>
              <w:t>Espèces</w:t>
            </w:r>
          </w:p>
        </w:tc>
        <w:tc>
          <w:tcPr>
            <w:tcW w:w="7060" w:type="dxa"/>
            <w:gridSpan w:val="6"/>
            <w:tcBorders>
              <w:top w:val="single" w:sz="4" w:space="0" w:color="auto"/>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color w:val="000000"/>
                <w:sz w:val="22"/>
                <w:szCs w:val="22"/>
                <w:bdr w:val="none" w:sz="0" w:space="0" w:color="auto"/>
                <w:lang w:val="fr-FR" w:eastAsia="fr-FR"/>
              </w:rPr>
            </w:pPr>
            <w:r w:rsidRPr="00752EB1">
              <w:rPr>
                <w:rFonts w:eastAsia="Times New Roman"/>
                <w:b/>
                <w:bCs/>
                <w:color w:val="000000"/>
                <w:sz w:val="22"/>
                <w:szCs w:val="22"/>
                <w:bdr w:val="none" w:sz="0" w:space="0" w:color="auto"/>
                <w:lang w:val="fr-FR" w:eastAsia="fr-FR"/>
              </w:rPr>
              <w:t>Méthode utilisée</w:t>
            </w:r>
          </w:p>
        </w:tc>
      </w:tr>
      <w:tr w:rsidR="00752EB1" w:rsidRPr="00642180" w:rsidTr="00506524">
        <w:trPr>
          <w:trHeight w:val="300"/>
        </w:trPr>
        <w:tc>
          <w:tcPr>
            <w:tcW w:w="1520" w:type="dxa"/>
            <w:vMerge/>
            <w:tcBorders>
              <w:top w:val="single" w:sz="4" w:space="0" w:color="auto"/>
              <w:left w:val="nil"/>
              <w:bottom w:val="single" w:sz="4" w:space="0" w:color="000000"/>
              <w:right w:val="nil"/>
            </w:tcBorders>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
                <w:bCs/>
                <w:i/>
                <w:iCs/>
                <w:color w:val="000000"/>
                <w:sz w:val="22"/>
                <w:szCs w:val="22"/>
                <w:bdr w:val="none" w:sz="0" w:space="0" w:color="auto"/>
                <w:lang w:val="fr-FR" w:eastAsia="fr-FR"/>
              </w:rPr>
            </w:pPr>
          </w:p>
        </w:tc>
        <w:tc>
          <w:tcPr>
            <w:tcW w:w="4177" w:type="dxa"/>
            <w:gridSpan w:val="4"/>
            <w:tcBorders>
              <w:top w:val="single" w:sz="4" w:space="0" w:color="auto"/>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s="Calibri"/>
                <w:b/>
                <w:bCs/>
                <w:color w:val="000000"/>
                <w:sz w:val="22"/>
                <w:szCs w:val="22"/>
                <w:bdr w:val="none" w:sz="0" w:space="0" w:color="auto"/>
                <w:lang w:val="fr-FR" w:eastAsia="fr-FR"/>
              </w:rPr>
            </w:pPr>
            <w:r w:rsidRPr="00752EB1">
              <w:rPr>
                <w:rFonts w:eastAsia="Times New Roman" w:cs="Calibri"/>
                <w:b/>
                <w:bCs/>
                <w:color w:val="000000"/>
                <w:sz w:val="22"/>
                <w:szCs w:val="22"/>
                <w:bdr w:val="none" w:sz="0" w:space="0" w:color="auto"/>
                <w:lang w:val="fr-FR" w:eastAsia="fr-FR"/>
              </w:rPr>
              <w:t xml:space="preserve">Analyse de cernes </w:t>
            </w:r>
          </w:p>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color w:val="000000"/>
                <w:sz w:val="22"/>
                <w:szCs w:val="22"/>
                <w:bdr w:val="none" w:sz="0" w:space="0" w:color="auto"/>
                <w:lang w:val="fr-FR" w:eastAsia="fr-FR"/>
              </w:rPr>
            </w:pPr>
            <w:r w:rsidRPr="00752EB1">
              <w:rPr>
                <w:rFonts w:eastAsia="Times New Roman" w:cs="Calibri"/>
                <w:b/>
                <w:bCs/>
                <w:color w:val="000000"/>
                <w:sz w:val="22"/>
                <w:szCs w:val="22"/>
                <w:bdr w:val="none" w:sz="0" w:space="0" w:color="auto"/>
                <w:lang w:val="fr-FR" w:eastAsia="fr-FR"/>
              </w:rPr>
              <w:t>(mm/an)</w:t>
            </w:r>
          </w:p>
        </w:tc>
        <w:tc>
          <w:tcPr>
            <w:tcW w:w="2883" w:type="dxa"/>
            <w:gridSpan w:val="2"/>
            <w:tcBorders>
              <w:top w:val="single" w:sz="4" w:space="0" w:color="auto"/>
              <w:left w:val="nil"/>
              <w:bottom w:val="single" w:sz="4" w:space="0" w:color="auto"/>
              <w:right w:val="nil"/>
            </w:tcBorders>
            <w:shd w:val="clear" w:color="auto" w:fill="auto"/>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color w:val="000000"/>
                <w:sz w:val="22"/>
                <w:szCs w:val="22"/>
                <w:bdr w:val="none" w:sz="0" w:space="0" w:color="auto"/>
                <w:lang w:val="fr-FR" w:eastAsia="fr-FR"/>
              </w:rPr>
            </w:pPr>
            <w:r w:rsidRPr="00752EB1">
              <w:rPr>
                <w:rFonts w:eastAsia="Times New Roman" w:cs="Calibri"/>
                <w:b/>
                <w:bCs/>
                <w:color w:val="000000"/>
                <w:sz w:val="22"/>
                <w:szCs w:val="22"/>
                <w:bdr w:val="none" w:sz="0" w:space="0" w:color="auto"/>
                <w:lang w:val="fr-FR" w:eastAsia="fr-FR"/>
              </w:rPr>
              <w:t>Mesure de circonférence (mm/an)</w:t>
            </w:r>
          </w:p>
        </w:tc>
      </w:tr>
      <w:tr w:rsidR="00752EB1" w:rsidRPr="00752EB1" w:rsidTr="00506524">
        <w:trPr>
          <w:trHeight w:val="900"/>
        </w:trPr>
        <w:tc>
          <w:tcPr>
            <w:tcW w:w="1520" w:type="dxa"/>
            <w:vMerge/>
            <w:tcBorders>
              <w:top w:val="single" w:sz="4" w:space="0" w:color="auto"/>
              <w:left w:val="nil"/>
              <w:bottom w:val="single" w:sz="4" w:space="0" w:color="000000"/>
              <w:right w:val="nil"/>
            </w:tcBorders>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
                <w:bCs/>
                <w:i/>
                <w:iCs/>
                <w:color w:val="000000"/>
                <w:sz w:val="22"/>
                <w:szCs w:val="22"/>
                <w:bdr w:val="none" w:sz="0" w:space="0" w:color="auto"/>
                <w:lang w:val="fr-FR" w:eastAsia="fr-FR"/>
              </w:rPr>
            </w:pPr>
          </w:p>
        </w:tc>
        <w:tc>
          <w:tcPr>
            <w:tcW w:w="2970" w:type="dxa"/>
            <w:gridSpan w:val="3"/>
            <w:tcBorders>
              <w:top w:val="single" w:sz="4" w:space="0" w:color="auto"/>
              <w:left w:val="nil"/>
              <w:bottom w:val="single" w:sz="4" w:space="0" w:color="auto"/>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xml:space="preserve">Détienne </w:t>
            </w:r>
            <w:r w:rsidRPr="00752EB1">
              <w:rPr>
                <w:rFonts w:eastAsia="Times New Roman"/>
                <w:i/>
                <w:iCs/>
                <w:color w:val="000000"/>
                <w:sz w:val="22"/>
                <w:szCs w:val="22"/>
                <w:bdr w:val="none" w:sz="0" w:space="0" w:color="auto"/>
                <w:lang w:val="fr-FR" w:eastAsia="fr-FR"/>
              </w:rPr>
              <w:t>et</w:t>
            </w:r>
            <w:r w:rsidRPr="00752EB1">
              <w:rPr>
                <w:rFonts w:eastAsia="Times New Roman"/>
                <w:color w:val="000000"/>
                <w:sz w:val="22"/>
                <w:szCs w:val="22"/>
                <w:bdr w:val="none" w:sz="0" w:space="0" w:color="auto"/>
                <w:lang w:val="fr-FR" w:eastAsia="fr-FR"/>
              </w:rPr>
              <w:t xml:space="preserve"> </w:t>
            </w:r>
            <w:r w:rsidRPr="00752EB1">
              <w:rPr>
                <w:rFonts w:eastAsia="Times New Roman"/>
                <w:i/>
                <w:iCs/>
                <w:color w:val="000000"/>
                <w:sz w:val="22"/>
                <w:szCs w:val="22"/>
                <w:bdr w:val="none" w:sz="0" w:space="0" w:color="auto"/>
                <w:lang w:val="fr-FR" w:eastAsia="fr-FR"/>
              </w:rPr>
              <w:t>al.</w:t>
            </w:r>
            <w:r w:rsidRPr="00752EB1">
              <w:rPr>
                <w:rFonts w:eastAsia="Times New Roman"/>
                <w:color w:val="000000"/>
                <w:sz w:val="22"/>
                <w:szCs w:val="22"/>
                <w:bdr w:val="none" w:sz="0" w:space="0" w:color="auto"/>
                <w:lang w:val="fr-FR" w:eastAsia="fr-FR"/>
              </w:rPr>
              <w:t>, 1998</w:t>
            </w:r>
          </w:p>
        </w:tc>
        <w:tc>
          <w:tcPr>
            <w:tcW w:w="1207" w:type="dxa"/>
            <w:tcBorders>
              <w:top w:val="nil"/>
              <w:left w:val="nil"/>
              <w:bottom w:val="single" w:sz="4" w:space="0" w:color="auto"/>
              <w:right w:val="nil"/>
            </w:tcBorders>
            <w:shd w:val="clear" w:color="auto" w:fill="auto"/>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xml:space="preserve">Owona Ndongo </w:t>
            </w:r>
            <w:r w:rsidRPr="00752EB1">
              <w:rPr>
                <w:rFonts w:eastAsia="Times New Roman"/>
                <w:i/>
                <w:iCs/>
                <w:color w:val="000000"/>
                <w:sz w:val="22"/>
                <w:szCs w:val="22"/>
                <w:bdr w:val="none" w:sz="0" w:space="0" w:color="auto"/>
                <w:lang w:val="fr-FR" w:eastAsia="fr-FR"/>
              </w:rPr>
              <w:t>et</w:t>
            </w:r>
            <w:r w:rsidRPr="00752EB1">
              <w:rPr>
                <w:rFonts w:eastAsia="Times New Roman"/>
                <w:color w:val="000000"/>
                <w:sz w:val="22"/>
                <w:szCs w:val="22"/>
                <w:bdr w:val="none" w:sz="0" w:space="0" w:color="auto"/>
                <w:lang w:val="fr-FR" w:eastAsia="fr-FR"/>
              </w:rPr>
              <w:t xml:space="preserve"> </w:t>
            </w:r>
            <w:r w:rsidRPr="00752EB1">
              <w:rPr>
                <w:rFonts w:eastAsia="Times New Roman"/>
                <w:i/>
                <w:iCs/>
                <w:color w:val="000000"/>
                <w:sz w:val="22"/>
                <w:szCs w:val="22"/>
                <w:bdr w:val="none" w:sz="0" w:space="0" w:color="auto"/>
                <w:lang w:val="fr-FR" w:eastAsia="fr-FR"/>
              </w:rPr>
              <w:t>al.</w:t>
            </w:r>
            <w:r w:rsidRPr="00752EB1">
              <w:rPr>
                <w:rFonts w:eastAsia="Times New Roman"/>
                <w:color w:val="000000"/>
                <w:sz w:val="22"/>
                <w:szCs w:val="22"/>
                <w:bdr w:val="none" w:sz="0" w:space="0" w:color="auto"/>
                <w:lang w:val="fr-FR" w:eastAsia="fr-FR"/>
              </w:rPr>
              <w:t>, 2009</w:t>
            </w:r>
          </w:p>
        </w:tc>
        <w:tc>
          <w:tcPr>
            <w:tcW w:w="1040" w:type="dxa"/>
            <w:tcBorders>
              <w:top w:val="nil"/>
              <w:left w:val="nil"/>
              <w:bottom w:val="single" w:sz="4" w:space="0" w:color="auto"/>
              <w:right w:val="nil"/>
            </w:tcBorders>
            <w:shd w:val="clear" w:color="auto" w:fill="auto"/>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xml:space="preserve">Détienne </w:t>
            </w:r>
            <w:r w:rsidRPr="00752EB1">
              <w:rPr>
                <w:rFonts w:eastAsia="Times New Roman"/>
                <w:i/>
                <w:iCs/>
                <w:color w:val="000000"/>
                <w:sz w:val="22"/>
                <w:szCs w:val="22"/>
                <w:bdr w:val="none" w:sz="0" w:space="0" w:color="auto"/>
                <w:lang w:val="fr-FR" w:eastAsia="fr-FR"/>
              </w:rPr>
              <w:t>et</w:t>
            </w:r>
            <w:r w:rsidRPr="00752EB1">
              <w:rPr>
                <w:rFonts w:eastAsia="Times New Roman"/>
                <w:color w:val="000000"/>
                <w:sz w:val="22"/>
                <w:szCs w:val="22"/>
                <w:bdr w:val="none" w:sz="0" w:space="0" w:color="auto"/>
                <w:lang w:val="fr-FR" w:eastAsia="fr-FR"/>
              </w:rPr>
              <w:t xml:space="preserve"> </w:t>
            </w:r>
            <w:r w:rsidRPr="00752EB1">
              <w:rPr>
                <w:rFonts w:eastAsia="Times New Roman"/>
                <w:i/>
                <w:iCs/>
                <w:color w:val="000000"/>
                <w:sz w:val="22"/>
                <w:szCs w:val="22"/>
                <w:bdr w:val="none" w:sz="0" w:space="0" w:color="auto"/>
                <w:lang w:val="fr-FR" w:eastAsia="fr-FR"/>
              </w:rPr>
              <w:t>al.</w:t>
            </w:r>
            <w:r w:rsidRPr="00752EB1">
              <w:rPr>
                <w:rFonts w:eastAsia="Times New Roman"/>
                <w:color w:val="000000"/>
                <w:sz w:val="22"/>
                <w:szCs w:val="22"/>
                <w:bdr w:val="none" w:sz="0" w:space="0" w:color="auto"/>
                <w:lang w:val="fr-FR" w:eastAsia="fr-FR"/>
              </w:rPr>
              <w:t>, 1998</w:t>
            </w:r>
          </w:p>
        </w:tc>
        <w:tc>
          <w:tcPr>
            <w:tcW w:w="1843" w:type="dxa"/>
            <w:tcBorders>
              <w:top w:val="nil"/>
              <w:left w:val="nil"/>
              <w:bottom w:val="single" w:sz="4" w:space="0" w:color="auto"/>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xml:space="preserve">Gillet </w:t>
            </w:r>
            <w:r w:rsidRPr="00752EB1">
              <w:rPr>
                <w:rFonts w:eastAsia="Times New Roman"/>
                <w:i/>
                <w:iCs/>
                <w:color w:val="000000"/>
                <w:sz w:val="22"/>
                <w:szCs w:val="22"/>
                <w:bdr w:val="none" w:sz="0" w:space="0" w:color="auto"/>
                <w:lang w:val="fr-FR" w:eastAsia="fr-FR"/>
              </w:rPr>
              <w:t>et</w:t>
            </w:r>
            <w:r w:rsidRPr="00752EB1">
              <w:rPr>
                <w:rFonts w:eastAsia="Times New Roman"/>
                <w:color w:val="000000"/>
                <w:sz w:val="22"/>
                <w:szCs w:val="22"/>
                <w:bdr w:val="none" w:sz="0" w:space="0" w:color="auto"/>
                <w:lang w:val="fr-FR" w:eastAsia="fr-FR"/>
              </w:rPr>
              <w:t xml:space="preserve"> </w:t>
            </w:r>
            <w:r w:rsidRPr="00752EB1">
              <w:rPr>
                <w:rFonts w:eastAsia="Times New Roman"/>
                <w:i/>
                <w:iCs/>
                <w:color w:val="000000"/>
                <w:sz w:val="22"/>
                <w:szCs w:val="22"/>
                <w:bdr w:val="none" w:sz="0" w:space="0" w:color="auto"/>
                <w:lang w:val="fr-FR" w:eastAsia="fr-FR"/>
              </w:rPr>
              <w:t>al.</w:t>
            </w:r>
            <w:r w:rsidRPr="00752EB1">
              <w:rPr>
                <w:rFonts w:eastAsia="Times New Roman"/>
                <w:color w:val="000000"/>
                <w:sz w:val="22"/>
                <w:szCs w:val="22"/>
                <w:bdr w:val="none" w:sz="0" w:space="0" w:color="auto"/>
                <w:lang w:val="fr-FR" w:eastAsia="fr-FR"/>
              </w:rPr>
              <w:t>, 2008</w:t>
            </w:r>
          </w:p>
        </w:tc>
      </w:tr>
      <w:tr w:rsidR="00752EB1" w:rsidRPr="00752EB1" w:rsidTr="00506524">
        <w:trPr>
          <w:trHeight w:val="900"/>
        </w:trPr>
        <w:tc>
          <w:tcPr>
            <w:tcW w:w="1520" w:type="dxa"/>
            <w:vMerge/>
            <w:tcBorders>
              <w:top w:val="single" w:sz="4" w:space="0" w:color="auto"/>
              <w:left w:val="nil"/>
              <w:bottom w:val="single" w:sz="4" w:space="0" w:color="000000"/>
              <w:right w:val="nil"/>
            </w:tcBorders>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
                <w:bCs/>
                <w:i/>
                <w:iCs/>
                <w:color w:val="000000"/>
                <w:sz w:val="22"/>
                <w:szCs w:val="22"/>
                <w:bdr w:val="none" w:sz="0" w:space="0" w:color="auto"/>
                <w:lang w:val="fr-FR" w:eastAsia="fr-FR"/>
              </w:rPr>
            </w:pPr>
          </w:p>
        </w:tc>
        <w:tc>
          <w:tcPr>
            <w:tcW w:w="1065" w:type="dxa"/>
            <w:tcBorders>
              <w:top w:val="nil"/>
              <w:left w:val="nil"/>
              <w:bottom w:val="nil"/>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Cam et CI</w:t>
            </w:r>
          </w:p>
        </w:tc>
        <w:tc>
          <w:tcPr>
            <w:tcW w:w="816" w:type="dxa"/>
            <w:tcBorders>
              <w:top w:val="nil"/>
              <w:left w:val="nil"/>
              <w:bottom w:val="nil"/>
              <w:right w:val="nil"/>
            </w:tcBorders>
            <w:shd w:val="clear" w:color="auto" w:fill="auto"/>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RCA (FAC 192)</w:t>
            </w:r>
          </w:p>
        </w:tc>
        <w:tc>
          <w:tcPr>
            <w:tcW w:w="1089" w:type="dxa"/>
            <w:tcBorders>
              <w:top w:val="nil"/>
              <w:left w:val="nil"/>
              <w:bottom w:val="nil"/>
              <w:right w:val="nil"/>
            </w:tcBorders>
            <w:shd w:val="clear" w:color="auto" w:fill="auto"/>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RCA (Sangha M'Baéré)</w:t>
            </w:r>
          </w:p>
        </w:tc>
        <w:tc>
          <w:tcPr>
            <w:tcW w:w="1207" w:type="dxa"/>
            <w:tcBorders>
              <w:top w:val="nil"/>
              <w:left w:val="nil"/>
              <w:bottom w:val="nil"/>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Cam</w:t>
            </w:r>
          </w:p>
        </w:tc>
        <w:tc>
          <w:tcPr>
            <w:tcW w:w="1040" w:type="dxa"/>
            <w:tcBorders>
              <w:top w:val="nil"/>
              <w:left w:val="nil"/>
              <w:bottom w:val="nil"/>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Ghana</w:t>
            </w:r>
          </w:p>
        </w:tc>
        <w:tc>
          <w:tcPr>
            <w:tcW w:w="1843" w:type="dxa"/>
            <w:tcBorders>
              <w:top w:val="nil"/>
              <w:left w:val="nil"/>
              <w:bottom w:val="nil"/>
              <w:right w:val="nil"/>
            </w:tcBorders>
            <w:shd w:val="clear" w:color="auto" w:fill="auto"/>
            <w:noWrap/>
            <w:vAlign w:val="center"/>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RC</w:t>
            </w:r>
          </w:p>
        </w:tc>
      </w:tr>
      <w:tr w:rsidR="00752EB1" w:rsidRPr="00752EB1" w:rsidTr="00506524">
        <w:trPr>
          <w:trHeight w:val="300"/>
        </w:trPr>
        <w:tc>
          <w:tcPr>
            <w:tcW w:w="152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i/>
                <w:iCs/>
                <w:color w:val="000000"/>
                <w:sz w:val="22"/>
                <w:szCs w:val="22"/>
                <w:bdr w:val="none" w:sz="0" w:space="0" w:color="auto"/>
                <w:lang w:val="fr-FR" w:eastAsia="fr-FR"/>
              </w:rPr>
            </w:pPr>
            <w:r w:rsidRPr="00752EB1">
              <w:rPr>
                <w:rFonts w:eastAsia="Times New Roman" w:cs="Calibri"/>
                <w:i/>
                <w:iCs/>
                <w:color w:val="000000"/>
                <w:sz w:val="22"/>
                <w:szCs w:val="22"/>
                <w:bdr w:val="none" w:sz="0" w:space="0" w:color="auto"/>
                <w:lang w:val="fr-FR" w:eastAsia="fr-FR"/>
              </w:rPr>
              <w:t>E. angolense</w:t>
            </w:r>
          </w:p>
        </w:tc>
        <w:tc>
          <w:tcPr>
            <w:tcW w:w="1065"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5,8</w:t>
            </w:r>
          </w:p>
        </w:tc>
        <w:tc>
          <w:tcPr>
            <w:tcW w:w="816"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4,6</w:t>
            </w:r>
          </w:p>
        </w:tc>
        <w:tc>
          <w:tcPr>
            <w:tcW w:w="1089"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4,9</w:t>
            </w:r>
          </w:p>
        </w:tc>
        <w:tc>
          <w:tcPr>
            <w:tcW w:w="1207"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w:t>
            </w:r>
          </w:p>
        </w:tc>
        <w:tc>
          <w:tcPr>
            <w:tcW w:w="104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4-5</w:t>
            </w:r>
          </w:p>
        </w:tc>
        <w:tc>
          <w:tcPr>
            <w:tcW w:w="1843"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w:t>
            </w:r>
          </w:p>
        </w:tc>
      </w:tr>
      <w:tr w:rsidR="00752EB1" w:rsidRPr="00752EB1" w:rsidTr="00506524">
        <w:trPr>
          <w:trHeight w:val="300"/>
        </w:trPr>
        <w:tc>
          <w:tcPr>
            <w:tcW w:w="152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i/>
                <w:iCs/>
                <w:color w:val="000000"/>
                <w:sz w:val="22"/>
                <w:szCs w:val="22"/>
                <w:bdr w:val="none" w:sz="0" w:space="0" w:color="auto"/>
                <w:lang w:val="fr-FR" w:eastAsia="fr-FR"/>
              </w:rPr>
            </w:pPr>
            <w:r w:rsidRPr="00752EB1">
              <w:rPr>
                <w:rFonts w:eastAsia="Times New Roman" w:cs="Calibri"/>
                <w:i/>
                <w:iCs/>
                <w:color w:val="000000"/>
                <w:sz w:val="22"/>
                <w:szCs w:val="22"/>
                <w:bdr w:val="none" w:sz="0" w:space="0" w:color="auto"/>
                <w:lang w:val="fr-FR" w:eastAsia="fr-FR"/>
              </w:rPr>
              <w:t>E. candollei</w:t>
            </w:r>
          </w:p>
        </w:tc>
        <w:tc>
          <w:tcPr>
            <w:tcW w:w="1065"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5,8</w:t>
            </w:r>
          </w:p>
        </w:tc>
        <w:tc>
          <w:tcPr>
            <w:tcW w:w="816"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5,1</w:t>
            </w:r>
          </w:p>
        </w:tc>
        <w:tc>
          <w:tcPr>
            <w:tcW w:w="1089"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4,6</w:t>
            </w:r>
          </w:p>
        </w:tc>
        <w:tc>
          <w:tcPr>
            <w:tcW w:w="1207"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4,4</w:t>
            </w:r>
          </w:p>
        </w:tc>
        <w:tc>
          <w:tcPr>
            <w:tcW w:w="104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4-5</w:t>
            </w:r>
          </w:p>
        </w:tc>
        <w:tc>
          <w:tcPr>
            <w:tcW w:w="1843"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6</w:t>
            </w:r>
          </w:p>
        </w:tc>
      </w:tr>
      <w:tr w:rsidR="00752EB1" w:rsidRPr="00752EB1" w:rsidTr="00506524">
        <w:trPr>
          <w:trHeight w:val="300"/>
        </w:trPr>
        <w:tc>
          <w:tcPr>
            <w:tcW w:w="152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i/>
                <w:iCs/>
                <w:color w:val="000000"/>
                <w:sz w:val="22"/>
                <w:szCs w:val="22"/>
                <w:bdr w:val="none" w:sz="0" w:space="0" w:color="auto"/>
                <w:lang w:val="fr-FR" w:eastAsia="fr-FR"/>
              </w:rPr>
            </w:pPr>
            <w:r w:rsidRPr="00752EB1">
              <w:rPr>
                <w:rFonts w:eastAsia="Times New Roman" w:cs="Calibri"/>
                <w:i/>
                <w:iCs/>
                <w:color w:val="000000"/>
                <w:sz w:val="22"/>
                <w:szCs w:val="22"/>
                <w:bdr w:val="none" w:sz="0" w:space="0" w:color="auto"/>
                <w:lang w:val="fr-FR" w:eastAsia="fr-FR"/>
              </w:rPr>
              <w:t>E. cylindricum</w:t>
            </w:r>
          </w:p>
        </w:tc>
        <w:tc>
          <w:tcPr>
            <w:tcW w:w="1065"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3,4</w:t>
            </w:r>
          </w:p>
        </w:tc>
        <w:tc>
          <w:tcPr>
            <w:tcW w:w="816"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4,8</w:t>
            </w:r>
          </w:p>
        </w:tc>
        <w:tc>
          <w:tcPr>
            <w:tcW w:w="1089"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3,9-4,7</w:t>
            </w:r>
          </w:p>
        </w:tc>
        <w:tc>
          <w:tcPr>
            <w:tcW w:w="1207"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3</w:t>
            </w:r>
          </w:p>
        </w:tc>
        <w:tc>
          <w:tcPr>
            <w:tcW w:w="1040"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4-5</w:t>
            </w:r>
          </w:p>
        </w:tc>
        <w:tc>
          <w:tcPr>
            <w:tcW w:w="1843" w:type="dxa"/>
            <w:tcBorders>
              <w:top w:val="nil"/>
              <w:left w:val="nil"/>
              <w:bottom w:val="nil"/>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8</w:t>
            </w:r>
          </w:p>
        </w:tc>
      </w:tr>
      <w:tr w:rsidR="00752EB1" w:rsidRPr="00752EB1" w:rsidTr="00506524">
        <w:trPr>
          <w:trHeight w:val="300"/>
        </w:trPr>
        <w:tc>
          <w:tcPr>
            <w:tcW w:w="1520"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i/>
                <w:iCs/>
                <w:color w:val="000000"/>
                <w:sz w:val="22"/>
                <w:szCs w:val="22"/>
                <w:bdr w:val="none" w:sz="0" w:space="0" w:color="auto"/>
                <w:lang w:val="fr-FR" w:eastAsia="fr-FR"/>
              </w:rPr>
            </w:pPr>
            <w:r w:rsidRPr="00752EB1">
              <w:rPr>
                <w:rFonts w:eastAsia="Times New Roman" w:cs="Calibri"/>
                <w:i/>
                <w:iCs/>
                <w:color w:val="000000"/>
                <w:sz w:val="22"/>
                <w:szCs w:val="22"/>
                <w:bdr w:val="none" w:sz="0" w:space="0" w:color="auto"/>
                <w:lang w:val="fr-FR" w:eastAsia="fr-FR"/>
              </w:rPr>
              <w:t>E. utile</w:t>
            </w:r>
          </w:p>
        </w:tc>
        <w:tc>
          <w:tcPr>
            <w:tcW w:w="1065"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3,7</w:t>
            </w:r>
          </w:p>
        </w:tc>
        <w:tc>
          <w:tcPr>
            <w:tcW w:w="816"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5,8</w:t>
            </w:r>
          </w:p>
        </w:tc>
        <w:tc>
          <w:tcPr>
            <w:tcW w:w="1089"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6,5</w:t>
            </w:r>
          </w:p>
        </w:tc>
        <w:tc>
          <w:tcPr>
            <w:tcW w:w="1207"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 -</w:t>
            </w:r>
          </w:p>
        </w:tc>
        <w:tc>
          <w:tcPr>
            <w:tcW w:w="1040"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4-5</w:t>
            </w:r>
          </w:p>
        </w:tc>
        <w:tc>
          <w:tcPr>
            <w:tcW w:w="1843" w:type="dxa"/>
            <w:tcBorders>
              <w:top w:val="nil"/>
              <w:left w:val="nil"/>
              <w:bottom w:val="single" w:sz="4" w:space="0" w:color="auto"/>
              <w:right w:val="nil"/>
            </w:tcBorders>
            <w:shd w:val="clear" w:color="auto" w:fill="auto"/>
            <w:noWrap/>
            <w:vAlign w:val="bottom"/>
            <w:hideMark/>
          </w:tcPr>
          <w:p w:rsidR="00752EB1" w:rsidRPr="00752EB1" w:rsidRDefault="00752EB1" w:rsidP="00752EB1">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2"/>
                <w:szCs w:val="22"/>
                <w:bdr w:val="none" w:sz="0" w:space="0" w:color="auto"/>
                <w:lang w:val="fr-FR" w:eastAsia="fr-FR"/>
              </w:rPr>
            </w:pPr>
            <w:r w:rsidRPr="00752EB1">
              <w:rPr>
                <w:rFonts w:eastAsia="Times New Roman" w:cs="Calibri"/>
                <w:color w:val="000000"/>
                <w:sz w:val="22"/>
                <w:szCs w:val="22"/>
                <w:bdr w:val="none" w:sz="0" w:space="0" w:color="auto"/>
                <w:lang w:val="fr-FR" w:eastAsia="fr-FR"/>
              </w:rPr>
              <w:t>8,5</w:t>
            </w:r>
          </w:p>
        </w:tc>
      </w:tr>
    </w:tbl>
    <w:p w:rsidR="003A53F7" w:rsidRDefault="003A53F7" w:rsidP="00160ACA">
      <w:pPr>
        <w:pStyle w:val="CorpsA"/>
        <w:widowControl w:val="0"/>
        <w:suppressAutoHyphens/>
        <w:spacing w:line="240" w:lineRule="auto"/>
        <w:jc w:val="both"/>
      </w:pPr>
    </w:p>
    <w:p w:rsidR="003A53F7" w:rsidRDefault="00670B5E">
      <w:pPr>
        <w:pStyle w:val="CorpsA"/>
        <w:widowControl w:val="0"/>
        <w:suppressAutoHyphens/>
        <w:spacing w:line="240" w:lineRule="auto"/>
        <w:jc w:val="both"/>
        <w:rPr>
          <w:rStyle w:val="AucunA"/>
          <w:rFonts w:ascii="Times New Roman" w:eastAsia="Times New Roman" w:hAnsi="Times New Roman" w:cs="Times New Roman"/>
          <w:i/>
          <w:iCs/>
        </w:rPr>
      </w:pPr>
      <w:r>
        <w:rPr>
          <w:rStyle w:val="AucunA"/>
          <w:rFonts w:ascii="Times New Roman" w:hAnsi="Times New Roman"/>
        </w:rPr>
        <w:t xml:space="preserve">« - » : pas d’information </w:t>
      </w:r>
    </w:p>
    <w:p w:rsidR="003A53F7" w:rsidRDefault="00670B5E">
      <w:pPr>
        <w:pStyle w:val="CorpsA"/>
        <w:widowControl w:val="0"/>
        <w:suppressAutoHyphens/>
        <w:spacing w:line="240" w:lineRule="auto"/>
        <w:jc w:val="both"/>
      </w:pPr>
      <w:r>
        <w:rPr>
          <w:rStyle w:val="AucunA"/>
          <w:rFonts w:ascii="Arial Unicode MS" w:eastAsia="Arial Unicode MS" w:hAnsi="Arial Unicode MS" w:cs="Arial Unicode MS"/>
        </w:rPr>
        <w:br w:type="page"/>
      </w:r>
    </w:p>
    <w:p w:rsidR="003A53F7" w:rsidRDefault="003A53F7">
      <w:pPr>
        <w:pStyle w:val="CorpsA"/>
        <w:suppressAutoHyphens/>
        <w:spacing w:after="0" w:line="360" w:lineRule="auto"/>
        <w:jc w:val="both"/>
        <w:sectPr w:rsidR="003A53F7" w:rsidSect="00D54707">
          <w:headerReference w:type="default" r:id="rId26"/>
          <w:footerReference w:type="default" r:id="rId27"/>
          <w:pgSz w:w="11900" w:h="16840"/>
          <w:pgMar w:top="1418" w:right="1418" w:bottom="1418" w:left="1418" w:header="709" w:footer="709" w:gutter="0"/>
          <w:lnNumType w:countBy="1" w:restart="continuous"/>
          <w:cols w:space="720"/>
          <w:docGrid w:linePitch="326"/>
        </w:sectPr>
      </w:pPr>
    </w:p>
    <w:p w:rsidR="003A53F7" w:rsidRDefault="00670B5E">
      <w:pPr>
        <w:pStyle w:val="CorpsA"/>
        <w:suppressAutoHyphens/>
        <w:spacing w:after="0" w:line="360" w:lineRule="auto"/>
        <w:jc w:val="both"/>
      </w:pPr>
      <w:r>
        <w:rPr>
          <w:rStyle w:val="AucunA"/>
          <w:rFonts w:ascii="Times New Roman" w:hAnsi="Times New Roman"/>
          <w:b/>
          <w:bCs/>
        </w:rPr>
        <w:lastRenderedPageBreak/>
        <w:t>Tableau II.</w:t>
      </w:r>
      <w:r>
        <w:rPr>
          <w:rStyle w:val="AucunA"/>
          <w:rFonts w:ascii="Times New Roman" w:hAnsi="Times New Roman"/>
        </w:rPr>
        <w:t xml:space="preserve"> Caractères anatomiques distinctifs du bois d’espèces d’</w:t>
      </w:r>
      <w:r>
        <w:rPr>
          <w:rStyle w:val="AucunA"/>
          <w:rFonts w:ascii="Times New Roman" w:hAnsi="Times New Roman"/>
          <w:i/>
          <w:iCs/>
        </w:rPr>
        <w:t>Entandrophragma</w:t>
      </w:r>
      <w:r>
        <w:rPr>
          <w:rStyle w:val="AucunA"/>
          <w:rFonts w:ascii="Times New Roman" w:hAnsi="Times New Roman"/>
        </w:rPr>
        <w:t xml:space="preserve"> (adapté d’après Banak et </w:t>
      </w:r>
      <w:r>
        <w:rPr>
          <w:rStyle w:val="AucunA"/>
          <w:rFonts w:ascii="Times New Roman" w:hAnsi="Times New Roman"/>
          <w:i/>
          <w:iCs/>
        </w:rPr>
        <w:t>al.</w:t>
      </w:r>
      <w:r>
        <w:rPr>
          <w:rStyle w:val="AucunA"/>
          <w:rFonts w:ascii="Times New Roman" w:hAnsi="Times New Roman"/>
        </w:rPr>
        <w:t>, 2008</w:t>
      </w:r>
      <w:r>
        <w:rPr>
          <w:rStyle w:val="AucunA"/>
          <w:rFonts w:ascii="Times New Roman" w:hAnsi="Times New Roman"/>
          <w:lang w:val="nl-NL"/>
        </w:rPr>
        <w:t>).</w:t>
      </w:r>
      <w:r>
        <w:rPr>
          <w:rStyle w:val="AucunAA"/>
        </w:rPr>
        <w:t xml:space="preserve"> </w:t>
      </w:r>
      <w:r>
        <w:rPr>
          <w:rStyle w:val="AucunA"/>
          <w:rFonts w:ascii="Times New Roman" w:hAnsi="Times New Roman"/>
          <w:b/>
          <w:bCs/>
        </w:rPr>
        <w:t>Caractère anatomique :</w:t>
      </w:r>
      <w:r>
        <w:rPr>
          <w:rStyle w:val="AucunA"/>
          <w:rFonts w:ascii="Times New Roman" w:hAnsi="Times New Roman"/>
        </w:rPr>
        <w:t xml:space="preserve"> </w:t>
      </w:r>
      <w:r>
        <w:rPr>
          <w:rStyle w:val="AucunA"/>
          <w:rFonts w:ascii="Times New Roman" w:hAnsi="Times New Roman"/>
          <w:b/>
          <w:bCs/>
        </w:rPr>
        <w:t>totalement distinctif</w:t>
      </w:r>
      <w:r>
        <w:rPr>
          <w:rStyle w:val="AucunA"/>
          <w:rFonts w:ascii="Times New Roman" w:hAnsi="Times New Roman"/>
        </w:rPr>
        <w:t xml:space="preserve"> (il est unique à l’espèce concernée) ;</w:t>
      </w:r>
      <w:r>
        <w:rPr>
          <w:rStyle w:val="AucunAA"/>
        </w:rPr>
        <w:t> </w:t>
      </w:r>
      <w:r>
        <w:rPr>
          <w:rStyle w:val="AucunA"/>
          <w:rFonts w:ascii="Times New Roman" w:hAnsi="Times New Roman"/>
          <w:lang w:val="nl-NL"/>
        </w:rPr>
        <w:t xml:space="preserve"> </w:t>
      </w:r>
      <w:r>
        <w:rPr>
          <w:rStyle w:val="AucunA"/>
          <w:rFonts w:ascii="Times New Roman" w:hAnsi="Times New Roman"/>
          <w:b/>
          <w:bCs/>
          <w:lang w:val="nl-NL"/>
        </w:rPr>
        <w:t>moyennement distinctif</w:t>
      </w:r>
      <w:r>
        <w:rPr>
          <w:rStyle w:val="AucunA"/>
          <w:rFonts w:ascii="Times New Roman" w:hAnsi="Times New Roman"/>
          <w:lang w:val="nl-NL"/>
        </w:rPr>
        <w:t xml:space="preserve"> (il est aussi observé chez une autre espèce que l’espèce concernée) et </w:t>
      </w:r>
      <w:r>
        <w:rPr>
          <w:rStyle w:val="AucunA"/>
          <w:rFonts w:ascii="Times New Roman" w:hAnsi="Times New Roman"/>
          <w:b/>
          <w:bCs/>
          <w:lang w:val="nl-NL"/>
        </w:rPr>
        <w:t>faiblement distinctif</w:t>
      </w:r>
      <w:r>
        <w:rPr>
          <w:rStyle w:val="AucunA"/>
          <w:rFonts w:ascii="Times New Roman" w:hAnsi="Times New Roman"/>
          <w:lang w:val="nl-NL"/>
        </w:rPr>
        <w:t xml:space="preserve"> (il est aussi observé chez deux autres espèces que l’espèce concernée).</w:t>
      </w:r>
    </w:p>
    <w:tbl>
      <w:tblPr>
        <w:tblStyle w:val="TableNormal1"/>
        <w:tblW w:w="13194" w:type="dxa"/>
        <w:tblInd w:w="-4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275"/>
        <w:gridCol w:w="3686"/>
        <w:gridCol w:w="3402"/>
        <w:gridCol w:w="4831"/>
      </w:tblGrid>
      <w:tr w:rsidR="003A53F7" w:rsidTr="00AF6093">
        <w:trPr>
          <w:trHeight w:val="202"/>
        </w:trPr>
        <w:tc>
          <w:tcPr>
            <w:tcW w:w="1275"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b/>
                <w:bCs/>
                <w:sz w:val="18"/>
                <w:szCs w:val="18"/>
              </w:rPr>
              <w:t>Espèce</w:t>
            </w:r>
          </w:p>
        </w:tc>
        <w:tc>
          <w:tcPr>
            <w:tcW w:w="11919" w:type="dxa"/>
            <w:gridSpan w:val="3"/>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 xml:space="preserve">Caractères anatomiques </w:t>
            </w:r>
          </w:p>
        </w:tc>
      </w:tr>
      <w:tr w:rsidR="003A53F7" w:rsidTr="00AF6093">
        <w:trPr>
          <w:trHeight w:val="219"/>
        </w:trPr>
        <w:tc>
          <w:tcPr>
            <w:tcW w:w="1275" w:type="dxa"/>
            <w:vMerge/>
            <w:tcBorders>
              <w:top w:val="single" w:sz="4" w:space="0" w:color="000000"/>
              <w:left w:val="nil"/>
              <w:bottom w:val="single" w:sz="4" w:space="0" w:color="000000"/>
              <w:right w:val="nil"/>
            </w:tcBorders>
            <w:shd w:val="clear" w:color="auto" w:fill="auto"/>
          </w:tcPr>
          <w:p w:rsidR="003A53F7" w:rsidRDefault="003A53F7"/>
        </w:tc>
        <w:tc>
          <w:tcPr>
            <w:tcW w:w="368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Totalement distinctifs</w:t>
            </w:r>
          </w:p>
        </w:tc>
        <w:tc>
          <w:tcPr>
            <w:tcW w:w="340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Moyennement distinctifs</w:t>
            </w:r>
          </w:p>
        </w:tc>
        <w:tc>
          <w:tcPr>
            <w:tcW w:w="483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Faiblement distinctifs</w:t>
            </w:r>
          </w:p>
        </w:tc>
      </w:tr>
      <w:tr w:rsidR="003A53F7" w:rsidRPr="00642180" w:rsidTr="00AF6093">
        <w:trPr>
          <w:trHeight w:val="965"/>
        </w:trPr>
        <w:tc>
          <w:tcPr>
            <w:tcW w:w="127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angolense</w:t>
            </w:r>
          </w:p>
        </w:tc>
        <w:tc>
          <w:tcPr>
            <w:tcW w:w="368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 xml:space="preserve">12 : contour des vaisseaux isolés anguleux ; 107 : rayons composés de cellules couchées avec 2 à 4 rangées terminales de cellules dressées et/ou carrées </w:t>
            </w:r>
          </w:p>
        </w:tc>
        <w:tc>
          <w:tcPr>
            <w:tcW w:w="340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 xml:space="preserve">94 : plus de huit cellules par file verticale </w:t>
            </w:r>
          </w:p>
        </w:tc>
        <w:tc>
          <w:tcPr>
            <w:tcW w:w="483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1 : limites de cernes distinctes (1); 98 : rayons couramment 4–10-sériés ; 115 : 4–12 rayons par mm ;  136 : présence de cri</w:t>
            </w:r>
            <w:r>
              <w:rPr>
                <w:rStyle w:val="AucunA"/>
                <w:sz w:val="18"/>
                <w:szCs w:val="18"/>
              </w:rPr>
              <w:t>s</w:t>
            </w:r>
            <w:r>
              <w:rPr>
                <w:rStyle w:val="AucunA"/>
                <w:sz w:val="18"/>
                <w:szCs w:val="18"/>
              </w:rPr>
              <w:t>taux prismatiques ; 141 : cristaux prismatiques dans les cellules non cloisonnées du parenchyme axial ; 142 : cristaux prism</w:t>
            </w:r>
            <w:r>
              <w:rPr>
                <w:rStyle w:val="AucunA"/>
                <w:sz w:val="18"/>
                <w:szCs w:val="18"/>
              </w:rPr>
              <w:t>a</w:t>
            </w:r>
            <w:r>
              <w:rPr>
                <w:rStyle w:val="AucunA"/>
                <w:sz w:val="18"/>
                <w:szCs w:val="18"/>
              </w:rPr>
              <w:t xml:space="preserve">tiques dans les cellules cloisonnées du parenchyme axial </w:t>
            </w:r>
          </w:p>
        </w:tc>
      </w:tr>
      <w:tr w:rsidR="003A53F7" w:rsidRPr="00642180" w:rsidTr="00AF6093">
        <w:trPr>
          <w:trHeight w:val="1324"/>
        </w:trPr>
        <w:tc>
          <w:tcPr>
            <w:tcW w:w="127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candollei</w:t>
            </w:r>
          </w:p>
        </w:tc>
        <w:tc>
          <w:tcPr>
            <w:tcW w:w="368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43 : diamètre tangentiel moyen du lumen des vaisseaux ≥ 200 μm ;  84 : parenchyme axial paratrachéal unilatéral ; 159 : présence de co</w:t>
            </w:r>
            <w:r>
              <w:rPr>
                <w:rStyle w:val="AucunA"/>
                <w:sz w:val="18"/>
                <w:szCs w:val="18"/>
              </w:rPr>
              <w:t>r</w:t>
            </w:r>
            <w:r>
              <w:rPr>
                <w:rStyle w:val="AucunA"/>
                <w:sz w:val="18"/>
                <w:szCs w:val="18"/>
              </w:rPr>
              <w:t xml:space="preserve">puscules siliceux ; 160 : corpuscules siliceux dans les cellules des rayons ; 161 : corpuscules siliceux dans les cellules du parenchyme axial </w:t>
            </w:r>
          </w:p>
        </w:tc>
        <w:tc>
          <w:tcPr>
            <w:tcW w:w="340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 xml:space="preserve">46 : ≤ 5 vaisseaux par millimètre carré (1); 94 : plus de huit cellules par file verticale </w:t>
            </w:r>
          </w:p>
        </w:tc>
        <w:tc>
          <w:tcPr>
            <w:tcW w:w="483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 xml:space="preserve">82 : parenchyme axial aliforme ; 85 : parenchyme axial en bandes larges de plus de trois cellules ; 86 : parenchyme axial en lignes minces, au maximum larges de trois cellules; 98 : rayons couramment 4–10-sériés;  115 : 4–12 rayons par mm </w:t>
            </w:r>
          </w:p>
        </w:tc>
      </w:tr>
      <w:tr w:rsidR="003A53F7" w:rsidRPr="00642180" w:rsidTr="00AF6093">
        <w:trPr>
          <w:trHeight w:val="1670"/>
        </w:trPr>
        <w:tc>
          <w:tcPr>
            <w:tcW w:w="127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cylindricum</w:t>
            </w:r>
          </w:p>
        </w:tc>
        <w:tc>
          <w:tcPr>
            <w:tcW w:w="368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 xml:space="preserve">25 : ponctuations intervasculaires fines (4–7 μm) ; 81 : parenchyme axial en losange </w:t>
            </w:r>
          </w:p>
        </w:tc>
        <w:tc>
          <w:tcPr>
            <w:tcW w:w="340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97 : rayons 1–3-sériés (larges de 1–3 ce</w:t>
            </w:r>
            <w:r>
              <w:rPr>
                <w:rStyle w:val="AucunA"/>
                <w:sz w:val="18"/>
                <w:szCs w:val="18"/>
              </w:rPr>
              <w:t>l</w:t>
            </w:r>
            <w:r>
              <w:rPr>
                <w:rStyle w:val="AucunA"/>
                <w:sz w:val="18"/>
                <w:szCs w:val="18"/>
              </w:rPr>
              <w:t>lules) ; 104 : rayons composés uniquement de cellules couchées ; 118 : tous les rayons étagés ; 131 : canaux intercellulaires d’origine traumatique ;  137 : cristaux pri</w:t>
            </w:r>
            <w:r>
              <w:rPr>
                <w:rStyle w:val="AucunA"/>
                <w:sz w:val="18"/>
                <w:szCs w:val="18"/>
              </w:rPr>
              <w:t>s</w:t>
            </w:r>
            <w:r>
              <w:rPr>
                <w:rStyle w:val="AucunA"/>
                <w:sz w:val="18"/>
                <w:szCs w:val="18"/>
              </w:rPr>
              <w:t xml:space="preserve">matiques dans les cellules dressées et/ou carrées des rayons </w:t>
            </w:r>
          </w:p>
        </w:tc>
        <w:tc>
          <w:tcPr>
            <w:tcW w:w="483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1 : limites de cernes distinctes ; 82 : parenchyme axial aliforme ; 85 : parenchyme axial en bandes larges de plus de trois cellules ; 86 : parenchyme axial en lignes minces, au maximum larges de trois cellules ; 98 : rayons couramment 4–10-sériés ;  115 : 4–12 rayons par mm ; 136 : présence de cristaux prismatiques ; 141 : cristaux prismatiques dans les cellules non cloisonnées du p</w:t>
            </w:r>
            <w:r>
              <w:rPr>
                <w:rStyle w:val="AucunA"/>
                <w:sz w:val="18"/>
                <w:szCs w:val="18"/>
              </w:rPr>
              <w:t>a</w:t>
            </w:r>
            <w:r>
              <w:rPr>
                <w:rStyle w:val="AucunA"/>
                <w:sz w:val="18"/>
                <w:szCs w:val="18"/>
              </w:rPr>
              <w:t xml:space="preserve">renchyme axial ; 142 : cristaux prismatiques dans les cellules cloisonnées du parenchyme axial </w:t>
            </w:r>
          </w:p>
        </w:tc>
      </w:tr>
      <w:tr w:rsidR="003A53F7" w:rsidRPr="00642180" w:rsidTr="00AF6093">
        <w:trPr>
          <w:trHeight w:val="1747"/>
        </w:trPr>
        <w:tc>
          <w:tcPr>
            <w:tcW w:w="1275" w:type="dxa"/>
            <w:tcBorders>
              <w:top w:val="single" w:sz="4" w:space="0" w:color="000000"/>
              <w:left w:val="nil"/>
              <w:bottom w:val="single" w:sz="8"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utile</w:t>
            </w:r>
          </w:p>
        </w:tc>
        <w:tc>
          <w:tcPr>
            <w:tcW w:w="3686" w:type="dxa"/>
            <w:tcBorders>
              <w:top w:val="single" w:sz="4" w:space="0" w:color="000000"/>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rFonts w:ascii="Calibri" w:eastAsia="Calibri" w:hAnsi="Calibri" w:cs="Calibri"/>
                <w:sz w:val="18"/>
                <w:szCs w:val="18"/>
              </w:rPr>
              <w:t> </w:t>
            </w:r>
          </w:p>
        </w:tc>
        <w:tc>
          <w:tcPr>
            <w:tcW w:w="3402" w:type="dxa"/>
            <w:tcBorders>
              <w:top w:val="single" w:sz="4" w:space="0" w:color="000000"/>
              <w:left w:val="nil"/>
              <w:bottom w:val="single" w:sz="8"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46 : ≤ 5 vaisseaux par millimètre carré (1); 97 : rayons 1–3-sériés (larges de 1–3 ce</w:t>
            </w:r>
            <w:r>
              <w:rPr>
                <w:rStyle w:val="AucunA"/>
                <w:sz w:val="18"/>
                <w:szCs w:val="18"/>
              </w:rPr>
              <w:t>l</w:t>
            </w:r>
            <w:r>
              <w:rPr>
                <w:rStyle w:val="AucunA"/>
                <w:sz w:val="18"/>
                <w:szCs w:val="18"/>
              </w:rPr>
              <w:t>lules) ; 104 : rayons composés uniquement de cellules couchées ;  118 : tous les rayons étagés ; 131 : canaux intercellulaires d’origine traumatique ; 137 : cristaux pri</w:t>
            </w:r>
            <w:r>
              <w:rPr>
                <w:rStyle w:val="AucunA"/>
                <w:sz w:val="18"/>
                <w:szCs w:val="18"/>
              </w:rPr>
              <w:t>s</w:t>
            </w:r>
            <w:r>
              <w:rPr>
                <w:rStyle w:val="AucunA"/>
                <w:sz w:val="18"/>
                <w:szCs w:val="18"/>
              </w:rPr>
              <w:t xml:space="preserve">matiques dans les cellules dressées et/ou carrées des rayons </w:t>
            </w:r>
          </w:p>
        </w:tc>
        <w:tc>
          <w:tcPr>
            <w:tcW w:w="4831" w:type="dxa"/>
            <w:tcBorders>
              <w:top w:val="single" w:sz="4" w:space="0" w:color="000000"/>
              <w:left w:val="nil"/>
              <w:bottom w:val="single" w:sz="8" w:space="0" w:color="000000"/>
              <w:right w:val="nil"/>
            </w:tcBorders>
            <w:shd w:val="clear" w:color="auto" w:fill="auto"/>
            <w:tcMar>
              <w:top w:w="80" w:type="dxa"/>
              <w:left w:w="80" w:type="dxa"/>
              <w:bottom w:w="80" w:type="dxa"/>
              <w:right w:w="80" w:type="dxa"/>
            </w:tcMar>
          </w:tcPr>
          <w:p w:rsidR="003A53F7" w:rsidRPr="00F4414F" w:rsidRDefault="00670B5E">
            <w:pPr>
              <w:pStyle w:val="CorpsB"/>
              <w:rPr>
                <w:lang w:val="fr-FR"/>
              </w:rPr>
            </w:pPr>
            <w:r>
              <w:rPr>
                <w:rStyle w:val="AucunA"/>
                <w:sz w:val="18"/>
                <w:szCs w:val="18"/>
              </w:rPr>
              <w:t>1 : limites de cernes distinctes ; 82 : parenchyme axial aliforme ; 85 : parenchyme axial en bandes larges de plus de trois cellules ;  86 : parenchyme axial en lignes minces, au maximum larges de trois cellules ; 136 : présence de cristaux prismatiques ;  141 : cristaux prismatiques dans les cellules non cloisonnées du p</w:t>
            </w:r>
            <w:r>
              <w:rPr>
                <w:rStyle w:val="AucunA"/>
                <w:sz w:val="18"/>
                <w:szCs w:val="18"/>
              </w:rPr>
              <w:t>a</w:t>
            </w:r>
            <w:r>
              <w:rPr>
                <w:rStyle w:val="AucunA"/>
                <w:sz w:val="18"/>
                <w:szCs w:val="18"/>
              </w:rPr>
              <w:t xml:space="preserve">renchyme axial ; 142 : cristaux prismatiques dans les cellules cloisonnées du parenchyme axial </w:t>
            </w:r>
          </w:p>
        </w:tc>
      </w:tr>
    </w:tbl>
    <w:p w:rsidR="003A53F7" w:rsidRDefault="003A53F7">
      <w:pPr>
        <w:pStyle w:val="CorpsA"/>
        <w:widowControl w:val="0"/>
        <w:suppressAutoHyphens/>
        <w:spacing w:after="0" w:line="240" w:lineRule="auto"/>
        <w:ind w:left="648" w:hanging="648"/>
        <w:jc w:val="both"/>
      </w:pPr>
    </w:p>
    <w:p w:rsidR="003A53F7" w:rsidRDefault="003A53F7">
      <w:pPr>
        <w:pStyle w:val="CorpsA"/>
        <w:widowControl w:val="0"/>
        <w:suppressAutoHyphens/>
        <w:spacing w:line="240" w:lineRule="auto"/>
        <w:ind w:left="432" w:hanging="432"/>
      </w:pPr>
    </w:p>
    <w:p w:rsidR="003A53F7" w:rsidRDefault="003A53F7">
      <w:pPr>
        <w:pStyle w:val="CorpsA"/>
        <w:suppressAutoHyphens/>
        <w:spacing w:after="0"/>
        <w:jc w:val="both"/>
        <w:sectPr w:rsidR="003A53F7" w:rsidSect="00AF6093">
          <w:pgSz w:w="16840" w:h="11900" w:orient="landscape"/>
          <w:pgMar w:top="1418" w:right="1418" w:bottom="1418" w:left="1418" w:header="709" w:footer="709" w:gutter="0"/>
          <w:cols w:space="720"/>
          <w:docGrid w:linePitch="326"/>
        </w:sectPr>
      </w:pPr>
    </w:p>
    <w:p w:rsidR="003A53F7" w:rsidRDefault="00670B5E">
      <w:pPr>
        <w:pStyle w:val="CorpsA"/>
        <w:suppressAutoHyphens/>
        <w:spacing w:after="0"/>
        <w:jc w:val="both"/>
        <w:rPr>
          <w:rStyle w:val="AucunA"/>
          <w:rFonts w:ascii="Times New Roman" w:hAnsi="Times New Roman"/>
        </w:rPr>
      </w:pPr>
      <w:r>
        <w:rPr>
          <w:rStyle w:val="AucunA"/>
          <w:rFonts w:ascii="Times New Roman" w:hAnsi="Times New Roman"/>
          <w:b/>
          <w:bCs/>
        </w:rPr>
        <w:lastRenderedPageBreak/>
        <w:t>Tableau III.</w:t>
      </w:r>
      <w:r>
        <w:rPr>
          <w:rStyle w:val="AucunA"/>
          <w:rFonts w:ascii="Times New Roman" w:hAnsi="Times New Roman"/>
        </w:rPr>
        <w:t xml:space="preserve"> Les principales caractéristiques physiques et mécaniques des espèces d’</w:t>
      </w:r>
      <w:r>
        <w:rPr>
          <w:rStyle w:val="AucunA"/>
          <w:rFonts w:ascii="Times New Roman" w:hAnsi="Times New Roman"/>
          <w:i/>
          <w:iCs/>
        </w:rPr>
        <w:t xml:space="preserve">Entandrophragma </w:t>
      </w:r>
      <w:r>
        <w:rPr>
          <w:rStyle w:val="AucunA"/>
          <w:rFonts w:ascii="Times New Roman" w:hAnsi="Times New Roman"/>
        </w:rPr>
        <w:t>exploitées.</w:t>
      </w:r>
    </w:p>
    <w:p w:rsidR="00C41792" w:rsidRDefault="00C41792">
      <w:pPr>
        <w:pStyle w:val="CorpsA"/>
        <w:suppressAutoHyphens/>
        <w:spacing w:after="0"/>
        <w:jc w:val="both"/>
      </w:pPr>
    </w:p>
    <w:tbl>
      <w:tblPr>
        <w:tblW w:w="8902" w:type="dxa"/>
        <w:tblInd w:w="55" w:type="dxa"/>
        <w:tblCellMar>
          <w:left w:w="70" w:type="dxa"/>
          <w:right w:w="70" w:type="dxa"/>
        </w:tblCellMar>
        <w:tblLook w:val="04A0" w:firstRow="1" w:lastRow="0" w:firstColumn="1" w:lastColumn="0" w:noHBand="0" w:noVBand="1"/>
      </w:tblPr>
      <w:tblGrid>
        <w:gridCol w:w="2283"/>
        <w:gridCol w:w="1606"/>
        <w:gridCol w:w="1418"/>
        <w:gridCol w:w="1654"/>
        <w:gridCol w:w="1941"/>
      </w:tblGrid>
      <w:tr w:rsidR="00C41792" w:rsidRPr="00C41792" w:rsidTr="00C41792">
        <w:trPr>
          <w:trHeight w:val="300"/>
        </w:trPr>
        <w:tc>
          <w:tcPr>
            <w:tcW w:w="2283"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
                <w:bCs/>
                <w:color w:val="000000"/>
                <w:sz w:val="20"/>
                <w:szCs w:val="20"/>
                <w:bdr w:val="none" w:sz="0" w:space="0" w:color="auto"/>
                <w:lang w:val="fr-FR" w:eastAsia="fr-FR"/>
              </w:rPr>
            </w:pPr>
            <w:r w:rsidRPr="00C41792">
              <w:rPr>
                <w:rFonts w:eastAsia="Times New Roman"/>
                <w:b/>
                <w:bCs/>
                <w:color w:val="000000"/>
                <w:sz w:val="20"/>
                <w:szCs w:val="20"/>
                <w:bdr w:val="none" w:sz="0" w:space="0" w:color="auto"/>
                <w:lang w:val="nl-NL" w:eastAsia="fr-FR"/>
              </w:rPr>
              <w:t>Caractéristiques</w:t>
            </w:r>
          </w:p>
        </w:tc>
        <w:tc>
          <w:tcPr>
            <w:tcW w:w="1606" w:type="dxa"/>
            <w:tcBorders>
              <w:top w:val="single" w:sz="4" w:space="0" w:color="auto"/>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i/>
                <w:iCs/>
                <w:color w:val="000000"/>
                <w:sz w:val="20"/>
                <w:szCs w:val="20"/>
                <w:bdr w:val="none" w:sz="0" w:space="0" w:color="auto"/>
                <w:lang w:val="fr-FR" w:eastAsia="fr-FR"/>
              </w:rPr>
            </w:pPr>
            <w:r w:rsidRPr="00C41792">
              <w:rPr>
                <w:rFonts w:eastAsia="Times New Roman"/>
                <w:b/>
                <w:bCs/>
                <w:i/>
                <w:iCs/>
                <w:color w:val="000000"/>
                <w:sz w:val="20"/>
                <w:szCs w:val="20"/>
                <w:bdr w:val="none" w:sz="0" w:space="0" w:color="auto"/>
                <w:lang w:val="nl-NL" w:eastAsia="fr-FR"/>
              </w:rPr>
              <w:t>E. angolense</w:t>
            </w:r>
          </w:p>
        </w:tc>
        <w:tc>
          <w:tcPr>
            <w:tcW w:w="1418" w:type="dxa"/>
            <w:tcBorders>
              <w:top w:val="single" w:sz="4" w:space="0" w:color="auto"/>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i/>
                <w:iCs/>
                <w:color w:val="000000"/>
                <w:sz w:val="20"/>
                <w:szCs w:val="20"/>
                <w:bdr w:val="none" w:sz="0" w:space="0" w:color="auto"/>
                <w:lang w:val="fr-FR" w:eastAsia="fr-FR"/>
              </w:rPr>
            </w:pPr>
            <w:r w:rsidRPr="00C41792">
              <w:rPr>
                <w:rFonts w:eastAsia="Times New Roman"/>
                <w:b/>
                <w:bCs/>
                <w:i/>
                <w:iCs/>
                <w:color w:val="000000"/>
                <w:sz w:val="20"/>
                <w:szCs w:val="20"/>
                <w:bdr w:val="none" w:sz="0" w:space="0" w:color="auto"/>
                <w:lang w:val="nl-NL" w:eastAsia="fr-FR"/>
              </w:rPr>
              <w:t>E. candollei</w:t>
            </w:r>
          </w:p>
        </w:tc>
        <w:tc>
          <w:tcPr>
            <w:tcW w:w="1654" w:type="dxa"/>
            <w:tcBorders>
              <w:top w:val="single" w:sz="4" w:space="0" w:color="auto"/>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i/>
                <w:iCs/>
                <w:color w:val="000000"/>
                <w:sz w:val="20"/>
                <w:szCs w:val="20"/>
                <w:bdr w:val="none" w:sz="0" w:space="0" w:color="auto"/>
                <w:lang w:val="fr-FR" w:eastAsia="fr-FR"/>
              </w:rPr>
            </w:pPr>
            <w:r w:rsidRPr="00C41792">
              <w:rPr>
                <w:rFonts w:eastAsia="Times New Roman"/>
                <w:b/>
                <w:bCs/>
                <w:i/>
                <w:iCs/>
                <w:color w:val="000000"/>
                <w:sz w:val="20"/>
                <w:szCs w:val="20"/>
                <w:bdr w:val="none" w:sz="0" w:space="0" w:color="auto"/>
                <w:lang w:val="nl-NL" w:eastAsia="fr-FR"/>
              </w:rPr>
              <w:t>E. cylindricum</w:t>
            </w:r>
          </w:p>
        </w:tc>
        <w:tc>
          <w:tcPr>
            <w:tcW w:w="1941" w:type="dxa"/>
            <w:tcBorders>
              <w:top w:val="single" w:sz="4" w:space="0" w:color="auto"/>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i/>
                <w:iCs/>
                <w:color w:val="000000"/>
                <w:sz w:val="20"/>
                <w:szCs w:val="20"/>
                <w:bdr w:val="none" w:sz="0" w:space="0" w:color="auto"/>
                <w:lang w:val="fr-FR" w:eastAsia="fr-FR"/>
              </w:rPr>
            </w:pPr>
            <w:r w:rsidRPr="00C41792">
              <w:rPr>
                <w:rFonts w:eastAsia="Times New Roman"/>
                <w:b/>
                <w:bCs/>
                <w:i/>
                <w:iCs/>
                <w:color w:val="000000"/>
                <w:sz w:val="20"/>
                <w:szCs w:val="20"/>
                <w:bdr w:val="none" w:sz="0" w:space="0" w:color="auto"/>
                <w:lang w:val="nl-NL" w:eastAsia="fr-FR"/>
              </w:rPr>
              <w:t>E. utile</w:t>
            </w:r>
          </w:p>
        </w:tc>
      </w:tr>
      <w:tr w:rsidR="00C41792" w:rsidRPr="00C41792" w:rsidTr="00C41792">
        <w:trPr>
          <w:trHeight w:val="300"/>
        </w:trPr>
        <w:tc>
          <w:tcPr>
            <w:tcW w:w="8902" w:type="dxa"/>
            <w:gridSpan w:val="5"/>
            <w:tcBorders>
              <w:top w:val="single" w:sz="4" w:space="0" w:color="auto"/>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color w:val="000000"/>
                <w:sz w:val="20"/>
                <w:szCs w:val="20"/>
                <w:bdr w:val="none" w:sz="0" w:space="0" w:color="auto"/>
                <w:lang w:val="fr-FR" w:eastAsia="fr-FR"/>
              </w:rPr>
            </w:pPr>
            <w:r w:rsidRPr="00C41792">
              <w:rPr>
                <w:rFonts w:eastAsia="Times New Roman"/>
                <w:b/>
                <w:bCs/>
                <w:color w:val="000000"/>
                <w:sz w:val="20"/>
                <w:szCs w:val="20"/>
                <w:bdr w:val="none" w:sz="0" w:space="0" w:color="auto"/>
                <w:lang w:val="nl-NL" w:eastAsia="fr-FR"/>
              </w:rPr>
              <w:t>1. Physiques</w:t>
            </w:r>
          </w:p>
        </w:tc>
      </w:tr>
      <w:tr w:rsidR="00C41792" w:rsidRPr="00C41792" w:rsidTr="00C41792">
        <w:trPr>
          <w:trHeight w:val="510"/>
        </w:trPr>
        <w:tc>
          <w:tcPr>
            <w:tcW w:w="2283"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Masse volumique à l'état vert (kg/m3)</w:t>
            </w:r>
          </w:p>
        </w:tc>
        <w:tc>
          <w:tcPr>
            <w:tcW w:w="1606"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850-950</w:t>
            </w:r>
          </w:p>
        </w:tc>
        <w:tc>
          <w:tcPr>
            <w:tcW w:w="1418"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850-950</w:t>
            </w:r>
          </w:p>
        </w:tc>
        <w:tc>
          <w:tcPr>
            <w:tcW w:w="1654"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850-950</w:t>
            </w:r>
          </w:p>
        </w:tc>
        <w:tc>
          <w:tcPr>
            <w:tcW w:w="1941"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800-900</w:t>
            </w:r>
          </w:p>
        </w:tc>
      </w:tr>
      <w:tr w:rsidR="00C41792" w:rsidRPr="00C41792" w:rsidTr="00C41792">
        <w:trPr>
          <w:trHeight w:val="51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Masse volumique à l'état sec* (kg/m3)</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500-735</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570-810</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560-780</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550-680</w:t>
            </w:r>
          </w:p>
        </w:tc>
      </w:tr>
      <w:tr w:rsidR="00C41792" w:rsidRPr="00C41792" w:rsidTr="00C41792">
        <w:trPr>
          <w:trHeight w:val="30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Dureté Monnin*</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2,4</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3,2</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4,2</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w:t>
            </w:r>
          </w:p>
        </w:tc>
      </w:tr>
      <w:tr w:rsidR="00C41792" w:rsidRPr="00C41792" w:rsidTr="00C41792">
        <w:trPr>
          <w:trHeight w:val="51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Point de saturation des fibres (%)</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33</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32</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29</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30</w:t>
            </w:r>
          </w:p>
        </w:tc>
      </w:tr>
      <w:tr w:rsidR="00C41792" w:rsidRPr="00C41792" w:rsidTr="00C41792">
        <w:trPr>
          <w:trHeight w:val="30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Retrait volumique total (%)</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12</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13,1</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13,1</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12,4</w:t>
            </w:r>
          </w:p>
        </w:tc>
      </w:tr>
      <w:tr w:rsidR="00C41792" w:rsidRPr="00C41792" w:rsidTr="00C41792">
        <w:trPr>
          <w:trHeight w:val="30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Retrait tangentiel total (%)</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5,8 - 9,6</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5,7-7,6</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4,3-9,8</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6,4</w:t>
            </w:r>
          </w:p>
        </w:tc>
      </w:tr>
      <w:tr w:rsidR="00C41792" w:rsidRPr="00C41792" w:rsidTr="00C41792">
        <w:trPr>
          <w:trHeight w:val="30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Retrait radial/axial total (%)</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3,8-6,6</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4,4-5,1</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3,5-7,6</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4,6</w:t>
            </w:r>
          </w:p>
        </w:tc>
      </w:tr>
      <w:tr w:rsidR="00C41792" w:rsidRPr="00C41792" w:rsidTr="00C41792">
        <w:trPr>
          <w:trHeight w:val="510"/>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Stabilité aux variations d'humidité de l'air</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Moyenne</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Faible</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Faible à moyenne</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Faible à moyenne</w:t>
            </w:r>
          </w:p>
        </w:tc>
      </w:tr>
      <w:tr w:rsidR="00C41792" w:rsidRPr="00C41792" w:rsidTr="00C41792">
        <w:trPr>
          <w:trHeight w:val="732"/>
        </w:trPr>
        <w:tc>
          <w:tcPr>
            <w:tcW w:w="2283"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Stabilité en moyenne</w:t>
            </w:r>
          </w:p>
        </w:tc>
        <w:tc>
          <w:tcPr>
            <w:tcW w:w="1606"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Moyennement stable à stable</w:t>
            </w:r>
          </w:p>
        </w:tc>
        <w:tc>
          <w:tcPr>
            <w:tcW w:w="1418"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Stable</w:t>
            </w:r>
          </w:p>
        </w:tc>
        <w:tc>
          <w:tcPr>
            <w:tcW w:w="1654"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Moyennement stable</w:t>
            </w:r>
          </w:p>
        </w:tc>
        <w:tc>
          <w:tcPr>
            <w:tcW w:w="1941"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Moyennement stable à stable</w:t>
            </w:r>
          </w:p>
        </w:tc>
      </w:tr>
      <w:tr w:rsidR="00C41792" w:rsidRPr="00C41792" w:rsidTr="00C41792">
        <w:trPr>
          <w:trHeight w:val="315"/>
        </w:trPr>
        <w:tc>
          <w:tcPr>
            <w:tcW w:w="8902" w:type="dxa"/>
            <w:gridSpan w:val="5"/>
            <w:tcBorders>
              <w:top w:val="single" w:sz="4" w:space="0" w:color="auto"/>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b/>
                <w:bCs/>
                <w:color w:val="000000"/>
                <w:sz w:val="20"/>
                <w:szCs w:val="20"/>
                <w:bdr w:val="none" w:sz="0" w:space="0" w:color="auto"/>
                <w:lang w:val="fr-FR" w:eastAsia="fr-FR"/>
              </w:rPr>
            </w:pPr>
            <w:r w:rsidRPr="00C41792">
              <w:rPr>
                <w:rFonts w:eastAsia="Times New Roman"/>
                <w:b/>
                <w:bCs/>
                <w:color w:val="000000"/>
                <w:sz w:val="20"/>
                <w:szCs w:val="20"/>
                <w:bdr w:val="none" w:sz="0" w:space="0" w:color="auto"/>
                <w:lang w:val="nl-NL" w:eastAsia="fr-FR"/>
              </w:rPr>
              <w:t>2. Mécaniques</w:t>
            </w:r>
          </w:p>
        </w:tc>
      </w:tr>
      <w:tr w:rsidR="00C41792" w:rsidRPr="00C41792" w:rsidTr="00C41792">
        <w:trPr>
          <w:trHeight w:val="765"/>
        </w:trPr>
        <w:tc>
          <w:tcPr>
            <w:tcW w:w="2283" w:type="dxa"/>
            <w:tcBorders>
              <w:top w:val="nil"/>
              <w:left w:val="nil"/>
              <w:bottom w:val="nil"/>
              <w:right w:val="nil"/>
            </w:tcBorders>
            <w:shd w:val="clear" w:color="000000" w:fill="CED7E7"/>
            <w:vAlign w:val="center"/>
            <w:hideMark/>
          </w:tcPr>
          <w:p w:rsidR="00C41792" w:rsidRPr="00C41792" w:rsidRDefault="00195787"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Pr>
                <w:rFonts w:eastAsia="Times New Roman" w:cs="Calibri"/>
                <w:color w:val="000000"/>
                <w:sz w:val="20"/>
                <w:szCs w:val="20"/>
                <w:bdr w:val="none" w:sz="0" w:space="0" w:color="auto"/>
                <w:lang w:val="fr-FR" w:eastAsia="fr-FR"/>
              </w:rPr>
              <w:t>Contrainte de rupture en</w:t>
            </w:r>
            <w:r w:rsidR="00C41792" w:rsidRPr="00C41792">
              <w:rPr>
                <w:rFonts w:eastAsia="Times New Roman" w:cs="Calibri"/>
                <w:color w:val="000000"/>
                <w:sz w:val="20"/>
                <w:szCs w:val="20"/>
                <w:bdr w:val="none" w:sz="0" w:space="0" w:color="auto"/>
                <w:lang w:val="fr-FR" w:eastAsia="fr-FR"/>
              </w:rPr>
              <w:t xml:space="preserve"> compression paral</w:t>
            </w:r>
            <w:r>
              <w:rPr>
                <w:rFonts w:eastAsia="Times New Roman" w:cs="Calibri"/>
                <w:color w:val="000000"/>
                <w:sz w:val="20"/>
                <w:szCs w:val="20"/>
                <w:bdr w:val="none" w:sz="0" w:space="0" w:color="auto"/>
                <w:lang w:val="fr-FR" w:eastAsia="fr-FR"/>
              </w:rPr>
              <w:t>lèle</w:t>
            </w:r>
            <w:r w:rsidR="00C41792" w:rsidRPr="00C41792">
              <w:rPr>
                <w:rFonts w:eastAsia="Times New Roman" w:cs="Calibri"/>
                <w:color w:val="000000"/>
                <w:sz w:val="20"/>
                <w:szCs w:val="20"/>
                <w:bdr w:val="none" w:sz="0" w:space="0" w:color="auto"/>
                <w:lang w:val="fr-FR" w:eastAsia="fr-FR"/>
              </w:rPr>
              <w:t>* (N/mm2)</w:t>
            </w:r>
          </w:p>
        </w:tc>
        <w:tc>
          <w:tcPr>
            <w:tcW w:w="1606"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37-67</w:t>
            </w:r>
          </w:p>
        </w:tc>
        <w:tc>
          <w:tcPr>
            <w:tcW w:w="1418"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47-53</w:t>
            </w:r>
          </w:p>
        </w:tc>
        <w:tc>
          <w:tcPr>
            <w:tcW w:w="1654"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40-75</w:t>
            </w:r>
          </w:p>
        </w:tc>
        <w:tc>
          <w:tcPr>
            <w:tcW w:w="1941" w:type="dxa"/>
            <w:tcBorders>
              <w:top w:val="nil"/>
              <w:left w:val="nil"/>
              <w:bottom w:val="nil"/>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45-72</w:t>
            </w:r>
          </w:p>
        </w:tc>
      </w:tr>
      <w:tr w:rsidR="00C41792" w:rsidRPr="00C41792" w:rsidTr="00C41792">
        <w:trPr>
          <w:trHeight w:val="765"/>
        </w:trPr>
        <w:tc>
          <w:tcPr>
            <w:tcW w:w="2283" w:type="dxa"/>
            <w:tcBorders>
              <w:top w:val="nil"/>
              <w:left w:val="nil"/>
              <w:bottom w:val="nil"/>
              <w:right w:val="nil"/>
            </w:tcBorders>
            <w:shd w:val="clear" w:color="auto" w:fill="auto"/>
            <w:vAlign w:val="center"/>
            <w:hideMark/>
          </w:tcPr>
          <w:p w:rsidR="00C41792" w:rsidRPr="00C41792" w:rsidRDefault="00195787"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195787">
              <w:rPr>
                <w:rFonts w:eastAsia="Times New Roman" w:cs="Calibri"/>
                <w:color w:val="000000"/>
                <w:sz w:val="20"/>
                <w:szCs w:val="20"/>
                <w:bdr w:val="none" w:sz="0" w:space="0" w:color="auto"/>
                <w:lang w:val="fr-FR" w:eastAsia="fr-FR"/>
              </w:rPr>
              <w:t xml:space="preserve">Contrainte de rupture en flexion statique </w:t>
            </w:r>
            <w:r>
              <w:rPr>
                <w:rFonts w:eastAsia="Times New Roman" w:cs="Calibri"/>
                <w:color w:val="000000"/>
                <w:sz w:val="20"/>
                <w:szCs w:val="20"/>
                <w:bdr w:val="none" w:sz="0" w:space="0" w:color="auto"/>
                <w:lang w:val="fr-FR" w:eastAsia="fr-FR"/>
              </w:rPr>
              <w:t>*</w:t>
            </w:r>
            <w:r w:rsidR="00C41792" w:rsidRPr="00C41792">
              <w:rPr>
                <w:rFonts w:eastAsia="Times New Roman" w:cs="Calibri"/>
                <w:color w:val="000000"/>
                <w:sz w:val="20"/>
                <w:szCs w:val="20"/>
                <w:bdr w:val="none" w:sz="0" w:space="0" w:color="auto"/>
                <w:lang w:val="fr-FR" w:eastAsia="fr-FR"/>
              </w:rPr>
              <w:t>(N/mm2)</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92-127</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97-122</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114-142</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101-114</w:t>
            </w:r>
          </w:p>
        </w:tc>
      </w:tr>
      <w:tr w:rsidR="00C41792" w:rsidRPr="00C41792" w:rsidTr="00C41792">
        <w:trPr>
          <w:trHeight w:val="765"/>
        </w:trPr>
        <w:tc>
          <w:tcPr>
            <w:tcW w:w="2283"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Module d'élasticité long</w:t>
            </w:r>
            <w:r w:rsidRPr="00C41792">
              <w:rPr>
                <w:rFonts w:eastAsia="Times New Roman" w:cs="Calibri"/>
                <w:color w:val="000000"/>
                <w:sz w:val="20"/>
                <w:szCs w:val="20"/>
                <w:bdr w:val="none" w:sz="0" w:space="0" w:color="auto"/>
                <w:lang w:val="fr-FR" w:eastAsia="fr-FR"/>
              </w:rPr>
              <w:t>i</w:t>
            </w:r>
            <w:r w:rsidRPr="00C41792">
              <w:rPr>
                <w:rFonts w:eastAsia="Times New Roman" w:cs="Calibri"/>
                <w:color w:val="000000"/>
                <w:sz w:val="20"/>
                <w:szCs w:val="20"/>
                <w:bdr w:val="none" w:sz="0" w:space="0" w:color="auto"/>
                <w:lang w:val="fr-FR" w:eastAsia="fr-FR"/>
              </w:rPr>
              <w:t>tudinal/ en flexion* (N/mm2)</w:t>
            </w:r>
          </w:p>
        </w:tc>
        <w:tc>
          <w:tcPr>
            <w:tcW w:w="1606"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7900-14700</w:t>
            </w:r>
          </w:p>
        </w:tc>
        <w:tc>
          <w:tcPr>
            <w:tcW w:w="1418"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7940-11800</w:t>
            </w:r>
          </w:p>
        </w:tc>
        <w:tc>
          <w:tcPr>
            <w:tcW w:w="1654"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11200-11300</w:t>
            </w:r>
          </w:p>
        </w:tc>
        <w:tc>
          <w:tcPr>
            <w:tcW w:w="1941" w:type="dxa"/>
            <w:tcBorders>
              <w:top w:val="nil"/>
              <w:left w:val="nil"/>
              <w:bottom w:val="nil"/>
              <w:right w:val="nil"/>
            </w:tcBorders>
            <w:shd w:val="clear" w:color="auto" w:fill="auto"/>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jc w:val="cente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8830-13830</w:t>
            </w:r>
          </w:p>
        </w:tc>
      </w:tr>
      <w:tr w:rsidR="00C41792" w:rsidRPr="003457F0" w:rsidTr="00C41792">
        <w:trPr>
          <w:trHeight w:val="2295"/>
        </w:trPr>
        <w:tc>
          <w:tcPr>
            <w:tcW w:w="2283" w:type="dxa"/>
            <w:tcBorders>
              <w:top w:val="nil"/>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Souces (Références)</w:t>
            </w:r>
          </w:p>
        </w:tc>
        <w:tc>
          <w:tcPr>
            <w:tcW w:w="1606" w:type="dxa"/>
            <w:tcBorders>
              <w:top w:val="nil"/>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olor w:val="000000"/>
                <w:sz w:val="20"/>
                <w:szCs w:val="20"/>
                <w:bdr w:val="none" w:sz="0" w:space="0" w:color="auto"/>
                <w:lang w:val="nl-NL" w:eastAsia="fr-FR"/>
              </w:rPr>
              <w:t xml:space="preserve">CIRAD, 2015 ; Dahms, 1999 ; Tchinda, 2008 ; Gérard </w:t>
            </w:r>
            <w:r w:rsidRPr="00C41792">
              <w:rPr>
                <w:rFonts w:eastAsia="Times New Roman"/>
                <w:i/>
                <w:iCs/>
                <w:color w:val="000000"/>
                <w:sz w:val="20"/>
                <w:szCs w:val="20"/>
                <w:bdr w:val="none" w:sz="0" w:space="0" w:color="auto"/>
                <w:lang w:val="nl-NL" w:eastAsia="fr-FR"/>
              </w:rPr>
              <w:t>et al.</w:t>
            </w:r>
            <w:r w:rsidRPr="00C41792">
              <w:rPr>
                <w:rFonts w:eastAsia="Times New Roman"/>
                <w:color w:val="000000"/>
                <w:sz w:val="20"/>
                <w:szCs w:val="20"/>
                <w:bdr w:val="none" w:sz="0" w:space="0" w:color="auto"/>
                <w:lang w:val="nl-NL" w:eastAsia="fr-FR"/>
              </w:rPr>
              <w:t>, 1998; ATIBT, 1986; William, 1986.</w:t>
            </w:r>
          </w:p>
        </w:tc>
        <w:tc>
          <w:tcPr>
            <w:tcW w:w="1418" w:type="dxa"/>
            <w:tcBorders>
              <w:top w:val="nil"/>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 xml:space="preserve">CIRAD, 2015 ; Nyunaï, 2008 ; Dahms, 1999 ; Gérard et </w:t>
            </w:r>
            <w:r w:rsidRPr="00C41792">
              <w:rPr>
                <w:rFonts w:eastAsia="Times New Roman"/>
                <w:i/>
                <w:iCs/>
                <w:color w:val="000000"/>
                <w:sz w:val="20"/>
                <w:szCs w:val="20"/>
                <w:bdr w:val="none" w:sz="0" w:space="0" w:color="auto"/>
                <w:lang w:val="fr-FR" w:eastAsia="fr-FR"/>
              </w:rPr>
              <w:t>al.</w:t>
            </w:r>
            <w:r w:rsidRPr="00C41792">
              <w:rPr>
                <w:rFonts w:eastAsia="Times New Roman"/>
                <w:color w:val="000000"/>
                <w:sz w:val="20"/>
                <w:szCs w:val="20"/>
                <w:bdr w:val="none" w:sz="0" w:space="0" w:color="auto"/>
                <w:lang w:val="fr-FR" w:eastAsia="fr-FR"/>
              </w:rPr>
              <w:t>, 1998 ; ATIBT, 1986 ; William,  1986.</w:t>
            </w:r>
          </w:p>
        </w:tc>
        <w:tc>
          <w:tcPr>
            <w:tcW w:w="1654" w:type="dxa"/>
            <w:tcBorders>
              <w:top w:val="nil"/>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 xml:space="preserve">CIRAD, 2015 ; Kémeuzé, 2008 ; Dahms, 1999 ; Gérard et </w:t>
            </w:r>
            <w:r w:rsidRPr="00C41792">
              <w:rPr>
                <w:rFonts w:eastAsia="Times New Roman"/>
                <w:i/>
                <w:iCs/>
                <w:color w:val="000000"/>
                <w:sz w:val="20"/>
                <w:szCs w:val="20"/>
                <w:bdr w:val="none" w:sz="0" w:space="0" w:color="auto"/>
                <w:lang w:val="fr-FR" w:eastAsia="fr-FR"/>
              </w:rPr>
              <w:t>al.</w:t>
            </w:r>
            <w:r w:rsidRPr="00C41792">
              <w:rPr>
                <w:rFonts w:eastAsia="Times New Roman"/>
                <w:color w:val="000000"/>
                <w:sz w:val="20"/>
                <w:szCs w:val="20"/>
                <w:bdr w:val="none" w:sz="0" w:space="0" w:color="auto"/>
                <w:lang w:val="fr-FR" w:eastAsia="fr-FR"/>
              </w:rPr>
              <w:t>, 1998 ; ATIBT, 1986 ; William, 1986.</w:t>
            </w:r>
          </w:p>
        </w:tc>
        <w:tc>
          <w:tcPr>
            <w:tcW w:w="1941" w:type="dxa"/>
            <w:tcBorders>
              <w:top w:val="nil"/>
              <w:left w:val="nil"/>
              <w:bottom w:val="single" w:sz="4" w:space="0" w:color="auto"/>
              <w:right w:val="nil"/>
            </w:tcBorders>
            <w:shd w:val="clear" w:color="000000" w:fill="CED7E7"/>
            <w:vAlign w:val="center"/>
            <w:hideMark/>
          </w:tcPr>
          <w:p w:rsidR="00C41792" w:rsidRPr="00C41792" w:rsidRDefault="00C41792" w:rsidP="00C41792">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color w:val="000000"/>
                <w:sz w:val="20"/>
                <w:szCs w:val="20"/>
                <w:bdr w:val="none" w:sz="0" w:space="0" w:color="auto"/>
                <w:lang w:val="fr-FR" w:eastAsia="fr-FR"/>
              </w:rPr>
            </w:pPr>
            <w:r w:rsidRPr="00C41792">
              <w:rPr>
                <w:rFonts w:eastAsia="Times New Roman" w:cs="Calibri"/>
                <w:color w:val="000000"/>
                <w:sz w:val="20"/>
                <w:szCs w:val="20"/>
                <w:bdr w:val="none" w:sz="0" w:space="0" w:color="auto"/>
                <w:lang w:val="fr-FR" w:eastAsia="fr-FR"/>
              </w:rPr>
              <w:t>CIRAD, 2015 ; Dahms, 1999 ; K</w:t>
            </w:r>
            <w:r w:rsidRPr="00C41792">
              <w:rPr>
                <w:rFonts w:eastAsia="Times New Roman" w:cs="Calibri"/>
                <w:color w:val="000000"/>
                <w:sz w:val="20"/>
                <w:szCs w:val="20"/>
                <w:bdr w:val="none" w:sz="0" w:space="0" w:color="auto"/>
                <w:lang w:val="fr-FR" w:eastAsia="fr-FR"/>
              </w:rPr>
              <w:t>é</w:t>
            </w:r>
            <w:r w:rsidRPr="00C41792">
              <w:rPr>
                <w:rFonts w:eastAsia="Times New Roman" w:cs="Calibri"/>
                <w:color w:val="000000"/>
                <w:sz w:val="20"/>
                <w:szCs w:val="20"/>
                <w:bdr w:val="none" w:sz="0" w:space="0" w:color="auto"/>
                <w:lang w:val="fr-FR" w:eastAsia="fr-FR"/>
              </w:rPr>
              <w:t xml:space="preserve">meuzé, 2008 ; Gérard et </w:t>
            </w:r>
            <w:r w:rsidRPr="00C41792">
              <w:rPr>
                <w:rFonts w:eastAsia="Times New Roman"/>
                <w:i/>
                <w:iCs/>
                <w:color w:val="000000"/>
                <w:sz w:val="20"/>
                <w:szCs w:val="20"/>
                <w:bdr w:val="none" w:sz="0" w:space="0" w:color="auto"/>
                <w:lang w:val="fr-FR" w:eastAsia="fr-FR"/>
              </w:rPr>
              <w:t>al.</w:t>
            </w:r>
            <w:r w:rsidRPr="00C41792">
              <w:rPr>
                <w:rFonts w:eastAsia="Times New Roman"/>
                <w:color w:val="000000"/>
                <w:sz w:val="20"/>
                <w:szCs w:val="20"/>
                <w:bdr w:val="none" w:sz="0" w:space="0" w:color="auto"/>
                <w:lang w:val="fr-FR" w:eastAsia="fr-FR"/>
              </w:rPr>
              <w:t>, 1998 ; ATIBT, 1986 ; William, 1986.</w:t>
            </w:r>
          </w:p>
        </w:tc>
      </w:tr>
    </w:tbl>
    <w:p w:rsidR="003A53F7" w:rsidRDefault="003A53F7" w:rsidP="00C41792">
      <w:pPr>
        <w:pStyle w:val="CorpsA"/>
        <w:widowControl w:val="0"/>
        <w:suppressAutoHyphens/>
        <w:spacing w:after="0" w:line="240" w:lineRule="auto"/>
        <w:rPr>
          <w:rFonts w:ascii="Times New Roman" w:eastAsia="Times New Roman" w:hAnsi="Times New Roman" w:cs="Times New Roman"/>
          <w:i/>
          <w:iCs/>
        </w:rPr>
      </w:pPr>
    </w:p>
    <w:p w:rsidR="003A53F7" w:rsidRDefault="00670B5E">
      <w:pPr>
        <w:pStyle w:val="CorpsA"/>
        <w:suppressAutoHyphens/>
        <w:spacing w:after="0"/>
        <w:rPr>
          <w:rStyle w:val="AucunA"/>
          <w:rFonts w:ascii="Times New Roman" w:eastAsia="Times New Roman" w:hAnsi="Times New Roman" w:cs="Times New Roman"/>
          <w:i/>
          <w:iCs/>
          <w:sz w:val="20"/>
          <w:szCs w:val="20"/>
        </w:rPr>
      </w:pPr>
      <w:r>
        <w:rPr>
          <w:rStyle w:val="AucunA"/>
          <w:rFonts w:ascii="Times New Roman" w:hAnsi="Times New Roman"/>
          <w:b/>
          <w:bCs/>
          <w:sz w:val="20"/>
          <w:szCs w:val="20"/>
        </w:rPr>
        <w:t xml:space="preserve">* </w:t>
      </w:r>
      <w:r>
        <w:rPr>
          <w:rStyle w:val="AucunA"/>
          <w:rFonts w:ascii="Times New Roman" w:hAnsi="Times New Roman"/>
          <w:sz w:val="20"/>
          <w:szCs w:val="20"/>
          <w:lang w:val="nl-NL"/>
        </w:rPr>
        <w:t>à</w:t>
      </w:r>
      <w:r>
        <w:rPr>
          <w:rStyle w:val="AucunA"/>
          <w:rFonts w:ascii="Times New Roman" w:hAnsi="Times New Roman"/>
          <w:sz w:val="20"/>
          <w:szCs w:val="20"/>
        </w:rPr>
        <w:t xml:space="preserve"> 12 % d</w:t>
      </w:r>
      <w:r>
        <w:rPr>
          <w:rStyle w:val="AucunA"/>
          <w:rFonts w:ascii="Times New Roman" w:hAnsi="Times New Roman"/>
          <w:sz w:val="20"/>
          <w:szCs w:val="20"/>
          <w:lang w:val="nl-NL"/>
        </w:rPr>
        <w:t>’</w:t>
      </w:r>
      <w:r>
        <w:rPr>
          <w:rStyle w:val="AucunA"/>
          <w:rFonts w:ascii="Times New Roman" w:hAnsi="Times New Roman"/>
          <w:sz w:val="20"/>
          <w:szCs w:val="20"/>
          <w:lang w:val="it-IT"/>
        </w:rPr>
        <w:t>humidit</w:t>
      </w:r>
      <w:r>
        <w:rPr>
          <w:rStyle w:val="AucunA"/>
          <w:rFonts w:ascii="Times New Roman" w:hAnsi="Times New Roman"/>
          <w:sz w:val="20"/>
          <w:szCs w:val="20"/>
          <w:lang w:val="nl-NL"/>
        </w:rPr>
        <w:t xml:space="preserve">é – </w:t>
      </w:r>
      <w:r>
        <w:rPr>
          <w:rStyle w:val="AucunA"/>
          <w:rFonts w:ascii="Times New Roman" w:hAnsi="Times New Roman"/>
          <w:i/>
          <w:iCs/>
          <w:sz w:val="20"/>
          <w:szCs w:val="20"/>
        </w:rPr>
        <w:t>at 12 % humidity.</w:t>
      </w:r>
    </w:p>
    <w:p w:rsidR="003A53F7" w:rsidRDefault="003A53F7">
      <w:pPr>
        <w:pStyle w:val="CorpsA"/>
        <w:suppressAutoHyphens/>
        <w:spacing w:after="0"/>
        <w:rPr>
          <w:rFonts w:ascii="Times New Roman" w:eastAsia="Times New Roman" w:hAnsi="Times New Roman" w:cs="Times New Roman"/>
          <w:i/>
          <w:iCs/>
          <w:sz w:val="20"/>
          <w:szCs w:val="20"/>
        </w:rPr>
      </w:pPr>
    </w:p>
    <w:p w:rsidR="003A53F7" w:rsidRDefault="00ED0751">
      <w:pPr>
        <w:pStyle w:val="CorpsA"/>
        <w:suppressAutoHyphens/>
        <w:spacing w:after="0"/>
        <w:rPr>
          <w:rStyle w:val="AucunA"/>
          <w:rFonts w:ascii="Times New Roman" w:eastAsia="Times New Roman" w:hAnsi="Times New Roman" w:cs="Times New Roman"/>
          <w:i/>
          <w:iCs/>
          <w:sz w:val="20"/>
          <w:szCs w:val="20"/>
        </w:rPr>
      </w:pPr>
      <w:r w:rsidRPr="00ED0751">
        <w:rPr>
          <w:rFonts w:ascii="Times New Roman" w:eastAsia="Arial Unicode MS" w:hAnsi="Times New Roman" w:cs="Times New Roman"/>
          <w:noProof/>
          <w:color w:val="auto"/>
          <w:sz w:val="24"/>
          <w:szCs w:val="24"/>
          <w:lang w:val="en-US" w:eastAsia="en-US"/>
        </w:rPr>
        <w:lastRenderedPageBreak/>
        <w:drawing>
          <wp:inline distT="0" distB="0" distL="0" distR="0" wp14:anchorId="483C0567" wp14:editId="41A8269F">
            <wp:extent cx="5561463" cy="3951027"/>
            <wp:effectExtent l="19050" t="19050" r="20320" b="11430"/>
            <wp:docPr id="1" name="officeArt object"/>
            <wp:cNvGraphicFramePr/>
            <a:graphic xmlns:a="http://schemas.openxmlformats.org/drawingml/2006/main">
              <a:graphicData uri="http://schemas.openxmlformats.org/drawingml/2006/picture">
                <pic:pic xmlns:pic="http://schemas.openxmlformats.org/drawingml/2006/picture">
                  <pic:nvPicPr>
                    <pic:cNvPr id="1073741825" name="image1.jpg"/>
                    <pic:cNvPicPr>
                      <a:picLocks noChangeAspect="1"/>
                    </pic:cNvPicPr>
                  </pic:nvPicPr>
                  <pic:blipFill>
                    <a:blip r:embed="rId28">
                      <a:extLst/>
                    </a:blip>
                    <a:stretch>
                      <a:fillRect/>
                    </a:stretch>
                  </pic:blipFill>
                  <pic:spPr>
                    <a:xfrm>
                      <a:off x="0" y="0"/>
                      <a:ext cx="5569776" cy="3956933"/>
                    </a:xfrm>
                    <a:prstGeom prst="rect">
                      <a:avLst/>
                    </a:prstGeom>
                    <a:ln w="12700" cap="flat">
                      <a:solidFill>
                        <a:schemeClr val="tx1"/>
                      </a:solidFill>
                      <a:miter lim="400000"/>
                    </a:ln>
                    <a:effectLst/>
                  </pic:spPr>
                </pic:pic>
              </a:graphicData>
            </a:graphic>
          </wp:inline>
        </w:drawing>
      </w:r>
    </w:p>
    <w:p w:rsidR="003A53F7" w:rsidRDefault="003A53F7">
      <w:pPr>
        <w:pStyle w:val="CorpsA"/>
        <w:suppressAutoHyphens/>
        <w:spacing w:after="0"/>
        <w:rPr>
          <w:rFonts w:ascii="Times New Roman" w:eastAsia="Times New Roman" w:hAnsi="Times New Roman" w:cs="Times New Roman"/>
          <w:i/>
          <w:iCs/>
          <w:sz w:val="20"/>
          <w:szCs w:val="20"/>
        </w:rPr>
      </w:pPr>
    </w:p>
    <w:p w:rsidR="003A53F7" w:rsidRDefault="00670B5E">
      <w:pPr>
        <w:pStyle w:val="CorpsA"/>
        <w:suppressAutoHyphens/>
        <w:spacing w:after="0"/>
        <w:jc w:val="both"/>
      </w:pPr>
      <w:r>
        <w:rPr>
          <w:rStyle w:val="AucunA"/>
          <w:rFonts w:ascii="Times New Roman" w:hAnsi="Times New Roman"/>
          <w:b/>
          <w:bCs/>
          <w:sz w:val="20"/>
          <w:szCs w:val="20"/>
        </w:rPr>
        <w:t>Figure 1.</w:t>
      </w:r>
      <w:r>
        <w:rPr>
          <w:rStyle w:val="AucunA"/>
          <w:rFonts w:ascii="Times New Roman" w:hAnsi="Times New Roman"/>
          <w:sz w:val="20"/>
          <w:szCs w:val="20"/>
        </w:rPr>
        <w:t xml:space="preserve"> Répartition géographique des principales espèces commerciales du genre </w:t>
      </w:r>
      <w:r>
        <w:rPr>
          <w:rStyle w:val="AucunA"/>
          <w:rFonts w:ascii="Times New Roman" w:hAnsi="Times New Roman"/>
          <w:i/>
          <w:iCs/>
          <w:sz w:val="20"/>
          <w:szCs w:val="20"/>
        </w:rPr>
        <w:t>Entandrophragma</w:t>
      </w:r>
      <w:r>
        <w:rPr>
          <w:rStyle w:val="AucunA"/>
          <w:rFonts w:ascii="Times New Roman" w:hAnsi="Times New Roman"/>
          <w:sz w:val="20"/>
          <w:szCs w:val="20"/>
        </w:rPr>
        <w:t xml:space="preserve"> (carte adaptée d’après la base de données </w:t>
      </w:r>
      <w:r w:rsidR="00ED0751">
        <w:rPr>
          <w:rStyle w:val="AucunA"/>
          <w:rFonts w:ascii="Times New Roman" w:hAnsi="Times New Roman"/>
          <w:sz w:val="20"/>
          <w:szCs w:val="20"/>
        </w:rPr>
        <w:t xml:space="preserve"> « Rainbio » (Dauby et </w:t>
      </w:r>
      <w:r w:rsidR="00ED0751" w:rsidRPr="00160ACA">
        <w:rPr>
          <w:rStyle w:val="AucunA"/>
          <w:rFonts w:ascii="Times New Roman" w:hAnsi="Times New Roman"/>
          <w:i/>
          <w:sz w:val="20"/>
          <w:szCs w:val="20"/>
        </w:rPr>
        <w:t>al.</w:t>
      </w:r>
      <w:r w:rsidR="00ED0751" w:rsidRPr="00160ACA">
        <w:rPr>
          <w:rStyle w:val="AucunA"/>
          <w:rFonts w:ascii="Times New Roman" w:hAnsi="Times New Roman"/>
          <w:sz w:val="20"/>
          <w:szCs w:val="20"/>
        </w:rPr>
        <w:t>,</w:t>
      </w:r>
      <w:r w:rsidR="00ED0751">
        <w:rPr>
          <w:rStyle w:val="AucunA"/>
          <w:rFonts w:ascii="Times New Roman" w:hAnsi="Times New Roman"/>
          <w:sz w:val="20"/>
          <w:szCs w:val="20"/>
        </w:rPr>
        <w:t xml:space="preserve"> 2016)</w:t>
      </w:r>
    </w:p>
    <w:p w:rsidR="003A53F7" w:rsidRDefault="003A53F7">
      <w:pPr>
        <w:pStyle w:val="CorpsA"/>
        <w:suppressAutoHyphens/>
        <w:spacing w:after="0"/>
        <w:rPr>
          <w:rFonts w:ascii="Times New Roman" w:eastAsia="Times New Roman" w:hAnsi="Times New Roman" w:cs="Times New Roman"/>
          <w:i/>
          <w:iCs/>
          <w:sz w:val="20"/>
          <w:szCs w:val="20"/>
        </w:rPr>
      </w:pPr>
    </w:p>
    <w:p w:rsidR="003A53F7" w:rsidRDefault="003A53F7">
      <w:pPr>
        <w:pStyle w:val="CorpsA"/>
        <w:suppressAutoHyphens/>
        <w:spacing w:after="0"/>
        <w:rPr>
          <w:rFonts w:ascii="Times New Roman" w:eastAsia="Times New Roman" w:hAnsi="Times New Roman" w:cs="Times New Roman"/>
          <w:i/>
          <w:iCs/>
          <w:sz w:val="20"/>
          <w:szCs w:val="20"/>
        </w:rPr>
      </w:pPr>
    </w:p>
    <w:p w:rsidR="003A53F7" w:rsidRPr="00F4414F" w:rsidRDefault="00670B5E">
      <w:pPr>
        <w:pStyle w:val="CorpsB"/>
        <w:rPr>
          <w:lang w:val="fr-FR"/>
        </w:rPr>
      </w:pPr>
      <w:r>
        <w:rPr>
          <w:rStyle w:val="AucunA"/>
          <w:rFonts w:ascii="Arial Unicode MS" w:eastAsia="Arial Unicode MS" w:hAnsi="Arial Unicode MS" w:cs="Arial Unicode MS"/>
          <w:sz w:val="20"/>
          <w:szCs w:val="20"/>
        </w:rPr>
        <w:br w:type="page"/>
      </w:r>
    </w:p>
    <w:p w:rsidR="003A53F7" w:rsidRDefault="003A53F7">
      <w:pPr>
        <w:pStyle w:val="CorpsA"/>
        <w:suppressAutoHyphens/>
        <w:spacing w:after="0"/>
        <w:rPr>
          <w:rFonts w:ascii="Times New Roman" w:eastAsia="Times New Roman" w:hAnsi="Times New Roman" w:cs="Times New Roman"/>
          <w:i/>
          <w:iCs/>
          <w:sz w:val="20"/>
          <w:szCs w:val="20"/>
        </w:rPr>
      </w:pPr>
    </w:p>
    <w:p w:rsidR="003A53F7" w:rsidRDefault="003A53F7">
      <w:pPr>
        <w:pStyle w:val="CorpsA"/>
        <w:suppressAutoHyphens/>
        <w:spacing w:after="0"/>
        <w:rPr>
          <w:rFonts w:ascii="Times New Roman" w:eastAsia="Times New Roman" w:hAnsi="Times New Roman" w:cs="Times New Roman"/>
          <w:i/>
          <w:iCs/>
          <w:sz w:val="20"/>
          <w:szCs w:val="20"/>
        </w:rPr>
      </w:pPr>
    </w:p>
    <w:p w:rsidR="003A53F7" w:rsidRDefault="00670B5E">
      <w:pPr>
        <w:pStyle w:val="CorpsB"/>
        <w:jc w:val="both"/>
        <w:rPr>
          <w:rStyle w:val="AucunA"/>
          <w:i/>
          <w:iCs/>
          <w:sz w:val="20"/>
          <w:szCs w:val="20"/>
        </w:rPr>
      </w:pPr>
      <w:r>
        <w:rPr>
          <w:rStyle w:val="AucunA"/>
          <w:rFonts w:ascii="Calibri" w:eastAsia="Calibri" w:hAnsi="Calibri" w:cs="Calibri"/>
          <w:noProof/>
          <w:sz w:val="22"/>
          <w:szCs w:val="22"/>
          <w:lang w:val="en-US" w:eastAsia="en-US"/>
        </w:rPr>
        <w:drawing>
          <wp:inline distT="0" distB="0" distL="0" distR="0" wp14:anchorId="0E336BA6" wp14:editId="65B57CBE">
            <wp:extent cx="5755640" cy="4303454"/>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a:picLocks noChangeAspect="1"/>
                    </pic:cNvPicPr>
                  </pic:nvPicPr>
                  <pic:blipFill>
                    <a:blip r:embed="rId29">
                      <a:extLst/>
                    </a:blip>
                    <a:stretch>
                      <a:fillRect/>
                    </a:stretch>
                  </pic:blipFill>
                  <pic:spPr>
                    <a:xfrm>
                      <a:off x="0" y="0"/>
                      <a:ext cx="5755640" cy="4303454"/>
                    </a:xfrm>
                    <a:prstGeom prst="rect">
                      <a:avLst/>
                    </a:prstGeom>
                    <a:ln w="12700" cap="flat">
                      <a:noFill/>
                      <a:miter lim="400000"/>
                    </a:ln>
                    <a:effectLst/>
                  </pic:spPr>
                </pic:pic>
              </a:graphicData>
            </a:graphic>
          </wp:inline>
        </w:drawing>
      </w:r>
    </w:p>
    <w:p w:rsidR="003A53F7" w:rsidRPr="00F4414F" w:rsidRDefault="00670B5E">
      <w:pPr>
        <w:pStyle w:val="CorpsB"/>
        <w:spacing w:line="480" w:lineRule="auto"/>
        <w:jc w:val="both"/>
        <w:rPr>
          <w:lang w:val="fr-FR"/>
        </w:rPr>
      </w:pPr>
      <w:r>
        <w:rPr>
          <w:rStyle w:val="AucunA"/>
          <w:b/>
          <w:bCs/>
          <w:sz w:val="20"/>
          <w:szCs w:val="20"/>
          <w:lang w:val="it-IT"/>
        </w:rPr>
        <w:t>Figure 2.</w:t>
      </w:r>
      <w:r>
        <w:rPr>
          <w:rStyle w:val="AucunAA"/>
        </w:rPr>
        <w:t xml:space="preserve"> </w:t>
      </w:r>
      <w:r>
        <w:rPr>
          <w:rStyle w:val="AucunA"/>
          <w:sz w:val="20"/>
          <w:szCs w:val="20"/>
        </w:rPr>
        <w:t xml:space="preserve">Evolution des exportations de bois des </w:t>
      </w:r>
      <w:r>
        <w:rPr>
          <w:rStyle w:val="AucunA"/>
          <w:i/>
          <w:iCs/>
          <w:sz w:val="20"/>
          <w:szCs w:val="20"/>
        </w:rPr>
        <w:t>Entandrophragma</w:t>
      </w:r>
      <w:r>
        <w:rPr>
          <w:rStyle w:val="AucunA"/>
          <w:sz w:val="20"/>
          <w:szCs w:val="20"/>
          <w:lang w:val="es-ES_tradnl"/>
        </w:rPr>
        <w:t xml:space="preserve"> en C</w:t>
      </w:r>
      <w:r>
        <w:rPr>
          <w:rStyle w:val="AucunA"/>
          <w:sz w:val="20"/>
          <w:szCs w:val="20"/>
        </w:rPr>
        <w:t>ôte d’Ivoire (de 1963 à 1973), au C</w:t>
      </w:r>
      <w:r>
        <w:rPr>
          <w:rStyle w:val="AucunA"/>
          <w:sz w:val="20"/>
          <w:szCs w:val="20"/>
        </w:rPr>
        <w:t>a</w:t>
      </w:r>
      <w:r>
        <w:rPr>
          <w:rStyle w:val="AucunA"/>
          <w:sz w:val="20"/>
          <w:szCs w:val="20"/>
        </w:rPr>
        <w:t xml:space="preserve">meroun (de 1963 à </w:t>
      </w:r>
      <w:r>
        <w:rPr>
          <w:rStyle w:val="AucunA"/>
          <w:sz w:val="20"/>
          <w:szCs w:val="20"/>
          <w:lang w:val="es-ES_tradnl"/>
        </w:rPr>
        <w:t xml:space="preserve">1973), Congo (de 1963 </w:t>
      </w:r>
      <w:r>
        <w:rPr>
          <w:rStyle w:val="AucunA"/>
          <w:sz w:val="20"/>
          <w:szCs w:val="20"/>
        </w:rPr>
        <w:t>à 1973) et au Gabon (de 1963 à 1973 et de 1998 à 2003). Sources : avant 1973 : revue Bois et forêts des tropiques ; après 1998 : la lettre de l’ATIBT.</w:t>
      </w:r>
      <w:r>
        <w:rPr>
          <w:rStyle w:val="AucunA"/>
          <w:rFonts w:ascii="Arial Unicode MS" w:eastAsia="Arial Unicode MS" w:hAnsi="Arial Unicode MS" w:cs="Arial Unicode MS"/>
          <w:lang w:val="it-IT"/>
        </w:rPr>
        <w:br w:type="page"/>
      </w:r>
    </w:p>
    <w:p w:rsidR="003A53F7" w:rsidRDefault="003A53F7">
      <w:pPr>
        <w:pStyle w:val="CorpsC"/>
        <w:sectPr w:rsidR="003A53F7">
          <w:pgSz w:w="11900" w:h="16840"/>
          <w:pgMar w:top="1418" w:right="1418" w:bottom="1418" w:left="1418" w:header="709" w:footer="709" w:gutter="0"/>
          <w:cols w:space="720"/>
        </w:sectPr>
      </w:pPr>
    </w:p>
    <w:p w:rsidR="003A53F7" w:rsidRDefault="00670B5E">
      <w:pPr>
        <w:pStyle w:val="CorpsC"/>
        <w:rPr>
          <w:rStyle w:val="AucunA"/>
          <w:sz w:val="22"/>
          <w:szCs w:val="22"/>
        </w:rPr>
      </w:pPr>
      <w:r>
        <w:rPr>
          <w:rStyle w:val="AucunA"/>
          <w:b/>
          <w:bCs/>
          <w:sz w:val="22"/>
          <w:szCs w:val="22"/>
          <w:lang w:val="it-IT"/>
        </w:rPr>
        <w:lastRenderedPageBreak/>
        <w:t>Tableau IV</w:t>
      </w:r>
      <w:r>
        <w:rPr>
          <w:rStyle w:val="AucunA"/>
          <w:b/>
          <w:bCs/>
          <w:sz w:val="22"/>
          <w:szCs w:val="22"/>
        </w:rPr>
        <w:t>.</w:t>
      </w:r>
      <w:r>
        <w:rPr>
          <w:rStyle w:val="AucunAA"/>
        </w:rPr>
        <w:t xml:space="preserve"> </w:t>
      </w:r>
      <w:r>
        <w:rPr>
          <w:rStyle w:val="AucunA"/>
          <w:sz w:val="22"/>
          <w:szCs w:val="22"/>
        </w:rPr>
        <w:t xml:space="preserve">Production de bois des </w:t>
      </w:r>
      <w:r>
        <w:rPr>
          <w:rStyle w:val="AucunA"/>
          <w:i/>
          <w:iCs/>
          <w:sz w:val="22"/>
          <w:szCs w:val="22"/>
        </w:rPr>
        <w:t>Entandrophragma</w:t>
      </w:r>
      <w:r>
        <w:rPr>
          <w:rStyle w:val="AucunA"/>
          <w:sz w:val="22"/>
          <w:szCs w:val="22"/>
          <w:lang w:val="nl-NL"/>
        </w:rPr>
        <w:t xml:space="preserve"> (volume abattu en m</w:t>
      </w:r>
      <w:r>
        <w:rPr>
          <w:rStyle w:val="AucunA"/>
          <w:sz w:val="22"/>
          <w:szCs w:val="22"/>
          <w:vertAlign w:val="superscript"/>
          <w:lang w:val="nl-NL"/>
        </w:rPr>
        <w:t>3</w:t>
      </w:r>
      <w:r>
        <w:rPr>
          <w:rStyle w:val="AucunA"/>
          <w:sz w:val="22"/>
          <w:szCs w:val="22"/>
          <w:lang w:val="nl-NL"/>
        </w:rPr>
        <w:t>) de 2005 à 2012 au Cameroun, en République du Congo, en République Centra</w:t>
      </w:r>
      <w:r>
        <w:rPr>
          <w:rStyle w:val="AucunA"/>
          <w:sz w:val="22"/>
          <w:szCs w:val="22"/>
          <w:lang w:val="nl-NL"/>
        </w:rPr>
        <w:t>f</w:t>
      </w:r>
      <w:r>
        <w:rPr>
          <w:rStyle w:val="AucunA"/>
          <w:sz w:val="22"/>
          <w:szCs w:val="22"/>
          <w:lang w:val="nl-NL"/>
        </w:rPr>
        <w:t xml:space="preserve">ricaine et en République Démocratique du Congo (adaptée d’après de Wasseige </w:t>
      </w:r>
      <w:r>
        <w:rPr>
          <w:rStyle w:val="AucunA"/>
          <w:i/>
          <w:iCs/>
          <w:sz w:val="22"/>
          <w:szCs w:val="22"/>
          <w:lang w:val="nl-NL"/>
        </w:rPr>
        <w:t>et al.</w:t>
      </w:r>
      <w:r>
        <w:rPr>
          <w:rStyle w:val="AucunA"/>
          <w:sz w:val="22"/>
          <w:szCs w:val="22"/>
          <w:lang w:val="nl-NL"/>
        </w:rPr>
        <w:t>, 2014)</w:t>
      </w:r>
      <w:r>
        <w:rPr>
          <w:rStyle w:val="AucunA"/>
          <w:sz w:val="22"/>
          <w:szCs w:val="22"/>
        </w:rPr>
        <w:t>.</w:t>
      </w:r>
    </w:p>
    <w:p w:rsidR="003A53F7" w:rsidRDefault="003A53F7">
      <w:pPr>
        <w:pStyle w:val="CorpsC"/>
      </w:pPr>
    </w:p>
    <w:tbl>
      <w:tblPr>
        <w:tblStyle w:val="TableNormal1"/>
        <w:tblW w:w="12656" w:type="dxa"/>
        <w:tblInd w:w="43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08"/>
        <w:gridCol w:w="851"/>
        <w:gridCol w:w="852"/>
        <w:gridCol w:w="708"/>
        <w:gridCol w:w="709"/>
        <w:gridCol w:w="707"/>
        <w:gridCol w:w="851"/>
        <w:gridCol w:w="709"/>
        <w:gridCol w:w="708"/>
        <w:gridCol w:w="765"/>
        <w:gridCol w:w="850"/>
        <w:gridCol w:w="708"/>
        <w:gridCol w:w="795"/>
        <w:gridCol w:w="708"/>
        <w:gridCol w:w="709"/>
        <w:gridCol w:w="709"/>
        <w:gridCol w:w="709"/>
      </w:tblGrid>
      <w:tr w:rsidR="003A53F7">
        <w:trPr>
          <w:trHeight w:val="504"/>
        </w:trPr>
        <w:tc>
          <w:tcPr>
            <w:tcW w:w="607"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Date</w:t>
            </w:r>
          </w:p>
        </w:tc>
        <w:tc>
          <w:tcPr>
            <w:tcW w:w="3118" w:type="dxa"/>
            <w:gridSpan w:val="4"/>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Cameroun</w:t>
            </w:r>
          </w:p>
        </w:tc>
        <w:tc>
          <w:tcPr>
            <w:tcW w:w="2975"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République du Congo</w:t>
            </w:r>
          </w:p>
        </w:tc>
        <w:tc>
          <w:tcPr>
            <w:tcW w:w="3118" w:type="dxa"/>
            <w:gridSpan w:val="4"/>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République centrafricaine</w:t>
            </w:r>
          </w:p>
        </w:tc>
        <w:tc>
          <w:tcPr>
            <w:tcW w:w="2835"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République Démocratique du Congo</w:t>
            </w:r>
          </w:p>
        </w:tc>
      </w:tr>
      <w:tr w:rsidR="003A53F7">
        <w:trPr>
          <w:trHeight w:val="456"/>
        </w:trPr>
        <w:tc>
          <w:tcPr>
            <w:tcW w:w="607" w:type="dxa"/>
            <w:vMerge/>
            <w:tcBorders>
              <w:top w:val="single" w:sz="4" w:space="0" w:color="000000"/>
              <w:left w:val="nil"/>
              <w:bottom w:val="single" w:sz="4" w:space="0" w:color="000000"/>
              <w:right w:val="nil"/>
            </w:tcBorders>
            <w:shd w:val="clear" w:color="auto" w:fill="auto"/>
          </w:tcPr>
          <w:p w:rsidR="003A53F7" w:rsidRDefault="003A53F7"/>
        </w:tc>
        <w:tc>
          <w:tcPr>
            <w:tcW w:w="85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Kosipo</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Sapelli</w:t>
            </w:r>
          </w:p>
        </w:tc>
        <w:tc>
          <w:tcPr>
            <w:tcW w:w="708"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Sipo</w:t>
            </w:r>
          </w:p>
        </w:tc>
        <w:tc>
          <w:tcPr>
            <w:tcW w:w="709"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Tiama</w:t>
            </w:r>
          </w:p>
        </w:tc>
        <w:tc>
          <w:tcPr>
            <w:tcW w:w="707"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Kosipo</w:t>
            </w:r>
          </w:p>
        </w:tc>
        <w:tc>
          <w:tcPr>
            <w:tcW w:w="851"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Sapelli</w:t>
            </w:r>
          </w:p>
        </w:tc>
        <w:tc>
          <w:tcPr>
            <w:tcW w:w="70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Sipo</w:t>
            </w:r>
          </w:p>
        </w:tc>
        <w:tc>
          <w:tcPr>
            <w:tcW w:w="708"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Tiama</w:t>
            </w:r>
          </w:p>
        </w:tc>
        <w:tc>
          <w:tcPr>
            <w:tcW w:w="76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Kosipo</w:t>
            </w:r>
          </w:p>
        </w:tc>
        <w:tc>
          <w:tcPr>
            <w:tcW w:w="85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Sapelli</w:t>
            </w:r>
          </w:p>
        </w:tc>
        <w:tc>
          <w:tcPr>
            <w:tcW w:w="708"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Sipo</w:t>
            </w:r>
          </w:p>
        </w:tc>
        <w:tc>
          <w:tcPr>
            <w:tcW w:w="795"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Tiama</w:t>
            </w:r>
          </w:p>
        </w:tc>
        <w:tc>
          <w:tcPr>
            <w:tcW w:w="708"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Kosipo</w:t>
            </w:r>
          </w:p>
        </w:tc>
        <w:tc>
          <w:tcPr>
            <w:tcW w:w="70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Sapelli</w:t>
            </w:r>
          </w:p>
        </w:tc>
        <w:tc>
          <w:tcPr>
            <w:tcW w:w="70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Sipo</w:t>
            </w:r>
          </w:p>
        </w:tc>
        <w:tc>
          <w:tcPr>
            <w:tcW w:w="70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b/>
                <w:bCs/>
                <w:sz w:val="18"/>
                <w:szCs w:val="18"/>
              </w:rPr>
              <w:t>Tiama</w:t>
            </w:r>
          </w:p>
        </w:tc>
      </w:tr>
      <w:tr w:rsidR="003A53F7">
        <w:trPr>
          <w:trHeight w:val="461"/>
        </w:trPr>
        <w:tc>
          <w:tcPr>
            <w:tcW w:w="607"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2005</w:t>
            </w:r>
          </w:p>
        </w:tc>
        <w:tc>
          <w:tcPr>
            <w:tcW w:w="850"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41315</w:t>
            </w:r>
          </w:p>
        </w:tc>
        <w:tc>
          <w:tcPr>
            <w:tcW w:w="851"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378756</w:t>
            </w:r>
          </w:p>
        </w:tc>
        <w:tc>
          <w:tcPr>
            <w:tcW w:w="708"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single" w:sz="4" w:space="0" w:color="000000"/>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single" w:sz="4" w:space="0" w:color="000000"/>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4320</w:t>
            </w:r>
          </w:p>
        </w:tc>
        <w:tc>
          <w:tcPr>
            <w:tcW w:w="851"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496547</w:t>
            </w:r>
          </w:p>
        </w:tc>
        <w:tc>
          <w:tcPr>
            <w:tcW w:w="709"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72906</w:t>
            </w:r>
          </w:p>
        </w:tc>
        <w:tc>
          <w:tcPr>
            <w:tcW w:w="708" w:type="dxa"/>
            <w:tcBorders>
              <w:top w:val="single" w:sz="4" w:space="0" w:color="000000"/>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single" w:sz="4" w:space="0" w:color="000000"/>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6786</w:t>
            </w:r>
          </w:p>
        </w:tc>
        <w:tc>
          <w:tcPr>
            <w:tcW w:w="850"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215220</w:t>
            </w:r>
          </w:p>
        </w:tc>
        <w:tc>
          <w:tcPr>
            <w:tcW w:w="708"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21896</w:t>
            </w:r>
          </w:p>
        </w:tc>
        <w:tc>
          <w:tcPr>
            <w:tcW w:w="795" w:type="dxa"/>
            <w:tcBorders>
              <w:top w:val="single" w:sz="4" w:space="0" w:color="000000"/>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3095</w:t>
            </w:r>
          </w:p>
        </w:tc>
        <w:tc>
          <w:tcPr>
            <w:tcW w:w="708" w:type="dxa"/>
            <w:tcBorders>
              <w:top w:val="single" w:sz="4" w:space="0" w:color="000000"/>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4189</w:t>
            </w:r>
          </w:p>
        </w:tc>
        <w:tc>
          <w:tcPr>
            <w:tcW w:w="709"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34792</w:t>
            </w:r>
          </w:p>
        </w:tc>
        <w:tc>
          <w:tcPr>
            <w:tcW w:w="709"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20565</w:t>
            </w:r>
          </w:p>
        </w:tc>
        <w:tc>
          <w:tcPr>
            <w:tcW w:w="709" w:type="dxa"/>
            <w:tcBorders>
              <w:top w:val="single" w:sz="4" w:space="0" w:color="000000"/>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9669</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2006</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45367</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377142</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12177</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316098</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75971</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17174</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335604</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28909</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14399</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65465</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31773</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11992</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2007</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43751</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395469</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29641</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295221</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80076</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24033</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295954</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21098</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14561</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60914</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26952</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10986</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2008</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46151</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408068</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30901</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13269</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343652</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35749</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30921</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271283</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28329</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16493</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8303</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56542</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30537</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15716</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2009</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35267</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264771</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412406</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128530</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12548</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188206</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17359</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5176</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12768</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62079</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39356</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17312</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2010</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343797</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540563</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53641</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16798</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185619</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3A53F7"/>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5931</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68561</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15964</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10416</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2011</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365446</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546440</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49035</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22050</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215616</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13937</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17623</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79811</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15902</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5714</w:t>
            </w:r>
          </w:p>
        </w:tc>
      </w:tr>
      <w:tr w:rsidR="003A53F7">
        <w:trPr>
          <w:trHeight w:val="412"/>
        </w:trPr>
        <w:tc>
          <w:tcPr>
            <w:tcW w:w="607"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sz w:val="18"/>
                <w:szCs w:val="18"/>
              </w:rPr>
              <w:t>2012</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43717</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375729</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7"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1"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449456</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52379</w:t>
            </w:r>
          </w:p>
        </w:tc>
        <w:tc>
          <w:tcPr>
            <w:tcW w:w="70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65"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850"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8"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95"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8"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c>
          <w:tcPr>
            <w:tcW w:w="709" w:type="dxa"/>
            <w:tcBorders>
              <w:top w:val="nil"/>
              <w:left w:val="nil"/>
              <w:bottom w:val="nil"/>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w:t>
            </w:r>
          </w:p>
        </w:tc>
      </w:tr>
      <w:tr w:rsidR="003A53F7">
        <w:trPr>
          <w:trHeight w:val="412"/>
        </w:trPr>
        <w:tc>
          <w:tcPr>
            <w:tcW w:w="607"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right"/>
            </w:pPr>
            <w:r>
              <w:rPr>
                <w:rStyle w:val="AucunA"/>
                <w:b/>
                <w:bCs/>
                <w:sz w:val="18"/>
                <w:szCs w:val="18"/>
              </w:rPr>
              <w:t>Total</w:t>
            </w:r>
          </w:p>
        </w:tc>
        <w:tc>
          <w:tcPr>
            <w:tcW w:w="850"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255568</w:t>
            </w:r>
          </w:p>
        </w:tc>
        <w:tc>
          <w:tcPr>
            <w:tcW w:w="851"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2099178</w:t>
            </w:r>
          </w:p>
        </w:tc>
        <w:tc>
          <w:tcPr>
            <w:tcW w:w="708"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30901</w:t>
            </w:r>
          </w:p>
        </w:tc>
        <w:tc>
          <w:tcPr>
            <w:tcW w:w="709" w:type="dxa"/>
            <w:tcBorders>
              <w:top w:val="nil"/>
              <w:left w:val="nil"/>
              <w:bottom w:val="single" w:sz="8" w:space="0" w:color="000000"/>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w:t>
            </w:r>
          </w:p>
        </w:tc>
        <w:tc>
          <w:tcPr>
            <w:tcW w:w="707" w:type="dxa"/>
            <w:tcBorders>
              <w:top w:val="nil"/>
              <w:left w:val="single" w:sz="4" w:space="0" w:color="000000"/>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59407</w:t>
            </w:r>
          </w:p>
        </w:tc>
        <w:tc>
          <w:tcPr>
            <w:tcW w:w="851"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3400383</w:t>
            </w:r>
          </w:p>
        </w:tc>
        <w:tc>
          <w:tcPr>
            <w:tcW w:w="709"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548287</w:t>
            </w:r>
          </w:p>
        </w:tc>
        <w:tc>
          <w:tcPr>
            <w:tcW w:w="708" w:type="dxa"/>
            <w:tcBorders>
              <w:top w:val="nil"/>
              <w:left w:val="nil"/>
              <w:bottom w:val="single" w:sz="8" w:space="0" w:color="000000"/>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w:t>
            </w:r>
          </w:p>
        </w:tc>
        <w:tc>
          <w:tcPr>
            <w:tcW w:w="765" w:type="dxa"/>
            <w:tcBorders>
              <w:top w:val="nil"/>
              <w:left w:val="single" w:sz="4" w:space="0" w:color="000000"/>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130310</w:t>
            </w:r>
          </w:p>
        </w:tc>
        <w:tc>
          <w:tcPr>
            <w:tcW w:w="850"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1707502</w:t>
            </w:r>
          </w:p>
        </w:tc>
        <w:tc>
          <w:tcPr>
            <w:tcW w:w="708"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131528</w:t>
            </w:r>
          </w:p>
        </w:tc>
        <w:tc>
          <w:tcPr>
            <w:tcW w:w="795" w:type="dxa"/>
            <w:tcBorders>
              <w:top w:val="nil"/>
              <w:left w:val="nil"/>
              <w:bottom w:val="single" w:sz="8" w:space="0" w:color="000000"/>
              <w:right w:val="single" w:sz="4" w:space="0" w:color="000000"/>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77278</w:t>
            </w:r>
          </w:p>
        </w:tc>
        <w:tc>
          <w:tcPr>
            <w:tcW w:w="708" w:type="dxa"/>
            <w:tcBorders>
              <w:top w:val="nil"/>
              <w:left w:val="single" w:sz="4" w:space="0" w:color="000000"/>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2726</w:t>
            </w:r>
          </w:p>
        </w:tc>
        <w:tc>
          <w:tcPr>
            <w:tcW w:w="709"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428164</w:t>
            </w:r>
          </w:p>
        </w:tc>
        <w:tc>
          <w:tcPr>
            <w:tcW w:w="709"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181049</w:t>
            </w:r>
          </w:p>
        </w:tc>
        <w:tc>
          <w:tcPr>
            <w:tcW w:w="709" w:type="dxa"/>
            <w:tcBorders>
              <w:top w:val="nil"/>
              <w:left w:val="nil"/>
              <w:bottom w:val="single" w:sz="8"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b/>
                <w:bCs/>
                <w:sz w:val="18"/>
                <w:szCs w:val="18"/>
              </w:rPr>
              <w:t>81805</w:t>
            </w:r>
          </w:p>
        </w:tc>
      </w:tr>
    </w:tbl>
    <w:p w:rsidR="003A53F7" w:rsidRDefault="003A53F7">
      <w:pPr>
        <w:pStyle w:val="CorpsC"/>
        <w:widowControl w:val="0"/>
        <w:ind w:left="324" w:hanging="324"/>
      </w:pPr>
    </w:p>
    <w:p w:rsidR="003A53F7" w:rsidRDefault="003A53F7">
      <w:pPr>
        <w:pStyle w:val="CorpsC"/>
        <w:widowControl w:val="0"/>
        <w:ind w:left="216" w:hanging="216"/>
        <w:rPr>
          <w:b/>
          <w:bCs/>
          <w:lang w:val="it-IT"/>
        </w:rPr>
      </w:pPr>
    </w:p>
    <w:p w:rsidR="003A53F7" w:rsidRDefault="003A53F7">
      <w:pPr>
        <w:pStyle w:val="CorpsB"/>
        <w:widowControl w:val="0"/>
        <w:ind w:left="108" w:hanging="108"/>
        <w:rPr>
          <w:lang w:val="fr-FR"/>
        </w:rPr>
      </w:pPr>
    </w:p>
    <w:p w:rsidR="003A53F7" w:rsidRDefault="003A53F7">
      <w:pPr>
        <w:pStyle w:val="CorpsA"/>
        <w:suppressAutoHyphens/>
        <w:spacing w:line="240" w:lineRule="auto"/>
        <w:rPr>
          <w:rFonts w:ascii="Arial Unicode MS" w:eastAsia="Arial Unicode MS" w:hAnsi="Arial Unicode MS" w:cs="Arial Unicode MS"/>
        </w:rPr>
      </w:pPr>
    </w:p>
    <w:p w:rsidR="003A53F7" w:rsidRDefault="003A53F7">
      <w:pPr>
        <w:pStyle w:val="CorpsA"/>
        <w:suppressAutoHyphens/>
        <w:spacing w:line="360" w:lineRule="auto"/>
        <w:sectPr w:rsidR="003A53F7" w:rsidSect="00AF6093">
          <w:pgSz w:w="16840" w:h="11900" w:orient="landscape"/>
          <w:pgMar w:top="1418" w:right="1418" w:bottom="1418" w:left="1418" w:header="709" w:footer="709" w:gutter="0"/>
          <w:cols w:space="720"/>
          <w:docGrid w:linePitch="326"/>
        </w:sectPr>
      </w:pPr>
    </w:p>
    <w:p w:rsidR="003A53F7" w:rsidRDefault="00670B5E">
      <w:pPr>
        <w:pStyle w:val="CorpsA"/>
        <w:suppressAutoHyphens/>
        <w:spacing w:line="360" w:lineRule="auto"/>
      </w:pPr>
      <w:r>
        <w:rPr>
          <w:rStyle w:val="AucunA"/>
          <w:rFonts w:ascii="Times New Roman" w:eastAsia="Times New Roman" w:hAnsi="Times New Roman" w:cs="Times New Roman"/>
          <w:noProof/>
          <w:lang w:val="en-US" w:eastAsia="en-US"/>
        </w:rPr>
        <w:lastRenderedPageBreak/>
        <w:drawing>
          <wp:inline distT="0" distB="0" distL="0" distR="0" wp14:anchorId="410B39FB" wp14:editId="66BC2E7E">
            <wp:extent cx="5755640" cy="2860317"/>
            <wp:effectExtent l="0" t="0" r="0" b="0"/>
            <wp:docPr id="1073741827" name="officeArt object" descr="C:\Users\REFORCO\Desktop\UNIKIS\Key_Thesis\Articles\Revue_Biblio_Entandro_Key\Draft\Production Afrique Centrale.JPG"/>
            <wp:cNvGraphicFramePr/>
            <a:graphic xmlns:a="http://schemas.openxmlformats.org/drawingml/2006/main">
              <a:graphicData uri="http://schemas.openxmlformats.org/drawingml/2006/picture">
                <pic:pic xmlns:pic="http://schemas.openxmlformats.org/drawingml/2006/picture">
                  <pic:nvPicPr>
                    <pic:cNvPr id="1073741827" name="image3.jpeg" descr="C:\Users\REFORCO\Desktop\UNIKIS\Key_Thesis\Articles\Revue_Biblio_Entandro_Key\Draft\Production Afrique Centrale.JPG"/>
                    <pic:cNvPicPr>
                      <a:picLocks noChangeAspect="1"/>
                    </pic:cNvPicPr>
                  </pic:nvPicPr>
                  <pic:blipFill>
                    <a:blip r:embed="rId30">
                      <a:extLst/>
                    </a:blip>
                    <a:stretch>
                      <a:fillRect/>
                    </a:stretch>
                  </pic:blipFill>
                  <pic:spPr>
                    <a:xfrm>
                      <a:off x="0" y="0"/>
                      <a:ext cx="5755640" cy="2860317"/>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i/>
          <w:iCs/>
        </w:rPr>
      </w:pPr>
      <w:r>
        <w:rPr>
          <w:rStyle w:val="AucunA"/>
          <w:rFonts w:ascii="Times New Roman" w:hAnsi="Times New Roman"/>
          <w:b/>
          <w:bCs/>
          <w:lang w:val="it-IT"/>
        </w:rPr>
        <w:t xml:space="preserve">Figure </w:t>
      </w:r>
      <w:r>
        <w:rPr>
          <w:rStyle w:val="AucunA"/>
          <w:rFonts w:ascii="Times New Roman" w:hAnsi="Times New Roman"/>
          <w:b/>
          <w:bCs/>
        </w:rPr>
        <w:t>3.</w:t>
      </w:r>
      <w:r>
        <w:rPr>
          <w:rStyle w:val="AucunA"/>
          <w:rFonts w:ascii="Times New Roman" w:hAnsi="Times New Roman"/>
        </w:rPr>
        <w:t xml:space="preserve"> Production évaluée par essence en 2008 dans le bassin du Congo (m³) (Bayol et </w:t>
      </w:r>
      <w:r>
        <w:rPr>
          <w:rStyle w:val="AucunA"/>
          <w:rFonts w:ascii="Times New Roman" w:hAnsi="Times New Roman"/>
          <w:i/>
          <w:iCs/>
        </w:rPr>
        <w:t>al.</w:t>
      </w:r>
      <w:r>
        <w:rPr>
          <w:rStyle w:val="AucunA"/>
          <w:rFonts w:ascii="Times New Roman" w:hAnsi="Times New Roman"/>
        </w:rPr>
        <w:t xml:space="preserve">, 2012) Okoumé : </w:t>
      </w:r>
      <w:r>
        <w:rPr>
          <w:rStyle w:val="AucunA"/>
          <w:rFonts w:ascii="Times New Roman" w:hAnsi="Times New Roman"/>
          <w:i/>
          <w:iCs/>
        </w:rPr>
        <w:t>Aucoumea klaineana</w:t>
      </w:r>
      <w:r>
        <w:rPr>
          <w:rStyle w:val="AucunA"/>
          <w:rFonts w:ascii="Times New Roman" w:hAnsi="Times New Roman"/>
        </w:rPr>
        <w:t> ;</w:t>
      </w:r>
      <w:r>
        <w:rPr>
          <w:rStyle w:val="AucunA"/>
          <w:rFonts w:ascii="Times New Roman" w:hAnsi="Times New Roman"/>
          <w:i/>
          <w:iCs/>
        </w:rPr>
        <w:t xml:space="preserve"> </w:t>
      </w:r>
      <w:r>
        <w:rPr>
          <w:rStyle w:val="AucunA"/>
          <w:rFonts w:ascii="Times New Roman" w:hAnsi="Times New Roman"/>
        </w:rPr>
        <w:t xml:space="preserve">Sapelli : </w:t>
      </w:r>
      <w:r>
        <w:rPr>
          <w:rStyle w:val="AucunA"/>
          <w:rFonts w:ascii="Times New Roman" w:hAnsi="Times New Roman"/>
          <w:i/>
          <w:iCs/>
        </w:rPr>
        <w:t>Entandrophragma cylindricum</w:t>
      </w:r>
      <w:r>
        <w:rPr>
          <w:rStyle w:val="AucunA"/>
          <w:rFonts w:ascii="Times New Roman" w:hAnsi="Times New Roman"/>
        </w:rPr>
        <w:t xml:space="preserve"> ; Ayous : </w:t>
      </w:r>
      <w:r>
        <w:rPr>
          <w:rStyle w:val="AucunA"/>
          <w:rFonts w:ascii="Times New Roman" w:hAnsi="Times New Roman"/>
          <w:i/>
          <w:iCs/>
        </w:rPr>
        <w:t xml:space="preserve">Triplochiton scleroxylon </w:t>
      </w:r>
      <w:r>
        <w:rPr>
          <w:rStyle w:val="AucunA"/>
          <w:rFonts w:ascii="Times New Roman" w:hAnsi="Times New Roman"/>
        </w:rPr>
        <w:t xml:space="preserve">; Tali : </w:t>
      </w:r>
      <w:r>
        <w:rPr>
          <w:rStyle w:val="AucunA"/>
          <w:rFonts w:ascii="Times New Roman" w:hAnsi="Times New Roman"/>
          <w:i/>
          <w:iCs/>
          <w:lang w:val="de-DE"/>
        </w:rPr>
        <w:t xml:space="preserve">Erythrophleum </w:t>
      </w:r>
      <w:r>
        <w:rPr>
          <w:rStyle w:val="AucunA"/>
          <w:rFonts w:ascii="Times New Roman" w:hAnsi="Times New Roman"/>
        </w:rPr>
        <w:t>spp</w:t>
      </w:r>
      <w:r>
        <w:rPr>
          <w:rStyle w:val="AucunA"/>
          <w:rFonts w:ascii="Times New Roman" w:hAnsi="Times New Roman"/>
          <w:i/>
          <w:iCs/>
        </w:rPr>
        <w:t>. </w:t>
      </w:r>
      <w:r>
        <w:rPr>
          <w:rStyle w:val="AucunA"/>
          <w:rFonts w:ascii="Times New Roman" w:hAnsi="Times New Roman"/>
        </w:rPr>
        <w:t xml:space="preserve">; Okan : </w:t>
      </w:r>
      <w:r>
        <w:rPr>
          <w:rStyle w:val="AucunA"/>
          <w:rFonts w:ascii="Times New Roman" w:hAnsi="Times New Roman"/>
          <w:i/>
          <w:iCs/>
          <w:lang w:val="it-IT"/>
        </w:rPr>
        <w:t>Cylicodiscus gabunensis</w:t>
      </w:r>
      <w:r>
        <w:rPr>
          <w:rStyle w:val="AucunA"/>
          <w:rFonts w:ascii="Times New Roman" w:hAnsi="Times New Roman"/>
          <w:i/>
          <w:iCs/>
        </w:rPr>
        <w:t> </w:t>
      </w:r>
      <w:r>
        <w:rPr>
          <w:rStyle w:val="AucunA"/>
          <w:rFonts w:ascii="Times New Roman" w:hAnsi="Times New Roman"/>
        </w:rPr>
        <w:t xml:space="preserve">; Azobé : </w:t>
      </w:r>
      <w:r>
        <w:rPr>
          <w:rStyle w:val="AucunA"/>
          <w:rFonts w:ascii="Times New Roman" w:hAnsi="Times New Roman"/>
          <w:i/>
          <w:iCs/>
        </w:rPr>
        <w:t xml:space="preserve">Lophira alata </w:t>
      </w:r>
      <w:r>
        <w:rPr>
          <w:rStyle w:val="AucunA"/>
          <w:rFonts w:ascii="Times New Roman" w:hAnsi="Times New Roman"/>
        </w:rPr>
        <w:t xml:space="preserve">; Padouk : </w:t>
      </w:r>
      <w:r>
        <w:rPr>
          <w:rStyle w:val="AucunA"/>
          <w:rFonts w:ascii="Times New Roman" w:hAnsi="Times New Roman"/>
          <w:i/>
          <w:iCs/>
        </w:rPr>
        <w:t>Pterocarpus soyauxii</w:t>
      </w:r>
      <w:r>
        <w:rPr>
          <w:rStyle w:val="AucunA"/>
          <w:rFonts w:ascii="Times New Roman" w:hAnsi="Times New Roman"/>
        </w:rPr>
        <w:t xml:space="preserve"> ; Sipo : </w:t>
      </w:r>
      <w:r>
        <w:rPr>
          <w:rStyle w:val="AucunA"/>
          <w:rFonts w:ascii="Times New Roman" w:hAnsi="Times New Roman"/>
          <w:i/>
          <w:iCs/>
          <w:lang w:val="it-IT"/>
        </w:rPr>
        <w:t xml:space="preserve">Entandrophragma utile </w:t>
      </w:r>
      <w:r>
        <w:rPr>
          <w:rStyle w:val="AucunA"/>
          <w:rFonts w:ascii="Times New Roman" w:hAnsi="Times New Roman"/>
        </w:rPr>
        <w:t xml:space="preserve">; Iroko : </w:t>
      </w:r>
      <w:r>
        <w:rPr>
          <w:rStyle w:val="AucunA"/>
          <w:rFonts w:ascii="Times New Roman" w:hAnsi="Times New Roman"/>
          <w:i/>
          <w:iCs/>
          <w:lang w:val="es-ES_tradnl"/>
        </w:rPr>
        <w:t xml:space="preserve">Milicia excelsa </w:t>
      </w:r>
      <w:r>
        <w:rPr>
          <w:rStyle w:val="AucunA"/>
          <w:rFonts w:ascii="Times New Roman" w:hAnsi="Times New Roman"/>
        </w:rPr>
        <w:t xml:space="preserve">; Kosipo : </w:t>
      </w:r>
      <w:r>
        <w:rPr>
          <w:rStyle w:val="AucunA"/>
          <w:rFonts w:ascii="Times New Roman" w:hAnsi="Times New Roman"/>
          <w:i/>
          <w:iCs/>
          <w:lang w:val="it-IT"/>
        </w:rPr>
        <w:t>Entandrophragma candollei</w:t>
      </w:r>
      <w:r>
        <w:rPr>
          <w:rStyle w:val="AucunA"/>
          <w:rFonts w:ascii="Times New Roman" w:hAnsi="Times New Roman"/>
        </w:rPr>
        <w:t> </w:t>
      </w:r>
      <w:r>
        <w:rPr>
          <w:rStyle w:val="AucunA"/>
          <w:rFonts w:ascii="Times New Roman" w:hAnsi="Times New Roman"/>
          <w:lang w:val="de-DE"/>
        </w:rPr>
        <w:t>; Wenge</w:t>
      </w:r>
      <w:r>
        <w:rPr>
          <w:rStyle w:val="AucunA"/>
          <w:rFonts w:ascii="Times New Roman" w:hAnsi="Times New Roman"/>
        </w:rPr>
        <w:t> :</w:t>
      </w:r>
      <w:r>
        <w:rPr>
          <w:rStyle w:val="AucunA"/>
          <w:rFonts w:ascii="Times New Roman" w:hAnsi="Times New Roman"/>
          <w:i/>
          <w:iCs/>
        </w:rPr>
        <w:t xml:space="preserve"> Millettia laurentii </w:t>
      </w:r>
      <w:r>
        <w:rPr>
          <w:rStyle w:val="AucunA"/>
          <w:rFonts w:ascii="Times New Roman" w:hAnsi="Times New Roman"/>
        </w:rPr>
        <w:t xml:space="preserve">; Fraké : </w:t>
      </w:r>
      <w:r>
        <w:rPr>
          <w:rStyle w:val="AucunA"/>
          <w:rFonts w:ascii="Times New Roman" w:hAnsi="Times New Roman"/>
          <w:i/>
          <w:iCs/>
          <w:lang w:val="it-IT"/>
        </w:rPr>
        <w:t xml:space="preserve">Terminalia superba </w:t>
      </w:r>
      <w:r>
        <w:rPr>
          <w:rStyle w:val="AucunA"/>
          <w:rFonts w:ascii="Times New Roman" w:hAnsi="Times New Roman"/>
        </w:rPr>
        <w:t xml:space="preserve">; Bossé : </w:t>
      </w:r>
      <w:r>
        <w:rPr>
          <w:rStyle w:val="AucunA"/>
          <w:rFonts w:ascii="Times New Roman" w:hAnsi="Times New Roman"/>
          <w:i/>
          <w:iCs/>
        </w:rPr>
        <w:t xml:space="preserve">Leplaea </w:t>
      </w:r>
      <w:r>
        <w:rPr>
          <w:rStyle w:val="AucunA"/>
          <w:rFonts w:ascii="Times New Roman" w:hAnsi="Times New Roman"/>
        </w:rPr>
        <w:t>spp</w:t>
      </w:r>
      <w:r>
        <w:rPr>
          <w:rStyle w:val="AucunA"/>
          <w:rFonts w:ascii="Times New Roman" w:hAnsi="Times New Roman"/>
          <w:i/>
          <w:iCs/>
        </w:rPr>
        <w:t>.</w:t>
      </w:r>
    </w:p>
    <w:p w:rsidR="003A53F7" w:rsidRDefault="00670B5E">
      <w:pPr>
        <w:pStyle w:val="CorpsC"/>
      </w:pPr>
      <w:r>
        <w:rPr>
          <w:rStyle w:val="AucunA"/>
          <w:rFonts w:ascii="Arial Unicode MS" w:eastAsia="Arial Unicode MS" w:hAnsi="Arial Unicode MS" w:cs="Arial Unicode MS"/>
          <w:sz w:val="18"/>
          <w:szCs w:val="18"/>
        </w:rPr>
        <w:br w:type="page"/>
      </w:r>
    </w:p>
    <w:p w:rsidR="003A53F7" w:rsidRDefault="00670B5E">
      <w:pPr>
        <w:pStyle w:val="CorpsA"/>
        <w:suppressAutoHyphens/>
        <w:spacing w:after="0" w:line="360" w:lineRule="auto"/>
        <w:jc w:val="both"/>
        <w:rPr>
          <w:rFonts w:ascii="Times New Roman" w:eastAsia="Times New Roman" w:hAnsi="Times New Roman" w:cs="Times New Roman"/>
          <w:sz w:val="18"/>
          <w:szCs w:val="18"/>
        </w:rPr>
      </w:pPr>
      <w:r>
        <w:rPr>
          <w:rStyle w:val="AucunA"/>
          <w:rFonts w:ascii="Times New Roman" w:hAnsi="Times New Roman"/>
          <w:b/>
          <w:bCs/>
        </w:rPr>
        <w:lastRenderedPageBreak/>
        <w:t>Tableau V.</w:t>
      </w:r>
      <w:r>
        <w:rPr>
          <w:rStyle w:val="AucunA"/>
          <w:rFonts w:ascii="Times New Roman" w:hAnsi="Times New Roman"/>
          <w:sz w:val="18"/>
          <w:szCs w:val="18"/>
          <w:lang w:val="it-IT"/>
        </w:rPr>
        <w:t xml:space="preserve"> </w:t>
      </w:r>
      <w:r>
        <w:rPr>
          <w:rStyle w:val="AucunA"/>
          <w:rFonts w:ascii="Times New Roman" w:hAnsi="Times New Roman"/>
          <w:lang w:val="it-IT"/>
        </w:rPr>
        <w:t>Diam</w:t>
      </w:r>
      <w:r>
        <w:rPr>
          <w:rStyle w:val="AucunA"/>
          <w:rFonts w:ascii="Times New Roman" w:hAnsi="Times New Roman"/>
        </w:rPr>
        <w:t>ètre minimum de fructification (DMF), diamètre de fructification régulière (DFR) et diamè</w:t>
      </w:r>
      <w:r>
        <w:rPr>
          <w:rStyle w:val="AucunA"/>
          <w:rFonts w:ascii="Times New Roman" w:hAnsi="Times New Roman"/>
          <w:lang w:val="pt-PT"/>
        </w:rPr>
        <w:t>tre minimum d</w:t>
      </w:r>
      <w:r>
        <w:rPr>
          <w:rStyle w:val="AucunA"/>
          <w:rFonts w:ascii="Times New Roman" w:hAnsi="Times New Roman"/>
        </w:rPr>
        <w:t>’exploitation (DME) des essences d’</w:t>
      </w:r>
      <w:r>
        <w:rPr>
          <w:rStyle w:val="AucunA"/>
          <w:rFonts w:ascii="Times New Roman" w:hAnsi="Times New Roman"/>
          <w:i/>
          <w:iCs/>
        </w:rPr>
        <w:t>Entandrophragma</w:t>
      </w:r>
      <w:r>
        <w:rPr>
          <w:rStyle w:val="AucunA"/>
          <w:rFonts w:ascii="Times New Roman" w:hAnsi="Times New Roman"/>
        </w:rPr>
        <w:t xml:space="preserve"> RC : République du Congo; Cam : Cameroun ; RDC : République Démocratique du Congo ; RCA : République centrafricaine ; CI </w:t>
      </w:r>
      <w:r>
        <w:rPr>
          <w:rStyle w:val="AucunA"/>
          <w:rFonts w:ascii="Times New Roman" w:hAnsi="Times New Roman"/>
          <w:lang w:val="it-IT"/>
        </w:rPr>
        <w:t>: Cote d</w:t>
      </w:r>
      <w:r>
        <w:rPr>
          <w:rStyle w:val="AucunA"/>
          <w:rFonts w:ascii="Times New Roman" w:hAnsi="Times New Roman"/>
        </w:rPr>
        <w:t xml:space="preserve">’ivoire. (Source: Kasongo Yakusu </w:t>
      </w:r>
      <w:r>
        <w:rPr>
          <w:rStyle w:val="AucunA"/>
          <w:rFonts w:ascii="Times New Roman" w:hAnsi="Times New Roman"/>
          <w:i/>
          <w:iCs/>
        </w:rPr>
        <w:t>et al.</w:t>
      </w:r>
      <w:r>
        <w:rPr>
          <w:rStyle w:val="AucunA"/>
          <w:rFonts w:ascii="Times New Roman" w:hAnsi="Times New Roman"/>
        </w:rPr>
        <w:t>, 2018)</w:t>
      </w:r>
    </w:p>
    <w:tbl>
      <w:tblPr>
        <w:tblStyle w:val="TableNormal1"/>
        <w:tblW w:w="894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960"/>
        <w:gridCol w:w="1840"/>
        <w:gridCol w:w="1060"/>
        <w:gridCol w:w="1120"/>
        <w:gridCol w:w="1180"/>
        <w:gridCol w:w="960"/>
        <w:gridCol w:w="1820"/>
      </w:tblGrid>
      <w:tr w:rsidR="003A53F7" w:rsidTr="00AF6093">
        <w:trPr>
          <w:trHeight w:val="262"/>
        </w:trPr>
        <w:tc>
          <w:tcPr>
            <w:tcW w:w="960"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Essence</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Nom scientifique</w:t>
            </w:r>
          </w:p>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DMF (cm)</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DFR (cm)</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DME (cm)</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Pays</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b/>
                <w:bCs/>
                <w:sz w:val="18"/>
                <w:szCs w:val="18"/>
              </w:rPr>
              <w:t>Références</w:t>
            </w:r>
          </w:p>
        </w:tc>
      </w:tr>
      <w:tr w:rsidR="003A53F7" w:rsidTr="00AF6093">
        <w:trPr>
          <w:trHeight w:val="262"/>
        </w:trPr>
        <w:tc>
          <w:tcPr>
            <w:tcW w:w="960" w:type="dxa"/>
            <w:vMerge w:val="restart"/>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Kosipo</w:t>
            </w:r>
          </w:p>
        </w:tc>
        <w:tc>
          <w:tcPr>
            <w:tcW w:w="1840"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candollei</w:t>
            </w:r>
          </w:p>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40</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Yalibanda, 1999</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70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Ouganda </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Plumptre, 1995</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110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Ghana</w:t>
            </w:r>
          </w:p>
        </w:tc>
        <w:tc>
          <w:tcPr>
            <w:tcW w:w="18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Nyunaï, 2008</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Libéria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CI</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val="restart"/>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Gabon</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vMerge/>
            <w:tcBorders>
              <w:top w:val="single" w:sz="4" w:space="0" w:color="000000"/>
              <w:left w:val="nil"/>
              <w:bottom w:val="single" w:sz="4" w:space="0" w:color="000000"/>
              <w:right w:val="nil"/>
            </w:tcBorders>
            <w:shd w:val="clear" w:color="auto" w:fill="auto"/>
          </w:tcPr>
          <w:p w:rsidR="003A53F7" w:rsidRDefault="003A53F7"/>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vMerge/>
            <w:tcBorders>
              <w:top w:val="single" w:sz="4" w:space="0" w:color="000000"/>
              <w:left w:val="nil"/>
              <w:bottom w:val="single" w:sz="4" w:space="0" w:color="000000"/>
              <w:right w:val="nil"/>
            </w:tcBorders>
            <w:shd w:val="clear" w:color="auto" w:fill="auto"/>
          </w:tcPr>
          <w:p w:rsidR="003A53F7" w:rsidRDefault="003A53F7"/>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Cam</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vMerge/>
            <w:tcBorders>
              <w:top w:val="single" w:sz="4" w:space="0" w:color="000000"/>
              <w:left w:val="nil"/>
              <w:bottom w:val="single" w:sz="4" w:space="0" w:color="000000"/>
              <w:right w:val="nil"/>
            </w:tcBorders>
            <w:shd w:val="clear" w:color="auto" w:fill="auto"/>
          </w:tcPr>
          <w:p w:rsidR="003A53F7" w:rsidRDefault="003A53F7"/>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RDC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462"/>
        </w:trPr>
        <w:tc>
          <w:tcPr>
            <w:tcW w:w="960" w:type="dxa"/>
            <w:vMerge w:val="restart"/>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Sapelli</w:t>
            </w:r>
          </w:p>
        </w:tc>
        <w:tc>
          <w:tcPr>
            <w:tcW w:w="1840"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cylindricum</w:t>
            </w:r>
          </w:p>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75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de Madron et Da</w:t>
            </w:r>
            <w:r>
              <w:rPr>
                <w:rStyle w:val="AucunA"/>
                <w:sz w:val="18"/>
                <w:szCs w:val="18"/>
              </w:rPr>
              <w:t>u</w:t>
            </w:r>
            <w:r>
              <w:rPr>
                <w:rStyle w:val="AucunA"/>
                <w:sz w:val="18"/>
                <w:szCs w:val="18"/>
              </w:rPr>
              <w:t>meurie, 2004</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Ouganda </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Plumptre, 1995</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35</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Petrucci </w:t>
            </w:r>
            <w:r>
              <w:rPr>
                <w:rStyle w:val="AucunA"/>
                <w:i/>
                <w:iCs/>
                <w:sz w:val="18"/>
                <w:szCs w:val="18"/>
              </w:rPr>
              <w:t>et al.</w:t>
            </w:r>
            <w:r>
              <w:rPr>
                <w:rStyle w:val="AucunA"/>
                <w:sz w:val="18"/>
                <w:szCs w:val="18"/>
              </w:rPr>
              <w:t>, 1995</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55</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Yalibanda, 1999</w:t>
            </w:r>
          </w:p>
        </w:tc>
      </w:tr>
      <w:tr w:rsidR="003A53F7" w:rsidTr="00AF6093">
        <w:trPr>
          <w:trHeight w:val="41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40</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Gabon</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Sépulchre </w:t>
            </w:r>
            <w:r>
              <w:rPr>
                <w:rStyle w:val="AucunA"/>
                <w:i/>
                <w:iCs/>
                <w:sz w:val="18"/>
                <w:szCs w:val="18"/>
              </w:rPr>
              <w:t>et al.</w:t>
            </w:r>
            <w:r>
              <w:rPr>
                <w:rStyle w:val="AucunA"/>
                <w:sz w:val="18"/>
                <w:szCs w:val="18"/>
              </w:rPr>
              <w:t>, 2008</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val="restart"/>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CI</w:t>
            </w:r>
          </w:p>
        </w:tc>
        <w:tc>
          <w:tcPr>
            <w:tcW w:w="18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 xml:space="preserve">Palla </w:t>
            </w:r>
            <w:r>
              <w:rPr>
                <w:rStyle w:val="AucunA"/>
                <w:i/>
                <w:iCs/>
                <w:sz w:val="18"/>
                <w:szCs w:val="18"/>
              </w:rPr>
              <w:t>et al.</w:t>
            </w:r>
            <w:r>
              <w:rPr>
                <w:rStyle w:val="AucunA"/>
                <w:sz w:val="18"/>
                <w:szCs w:val="18"/>
              </w:rPr>
              <w:t>, 2012</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110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Ghana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Libéria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100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Cam</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RDC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412"/>
        </w:trPr>
        <w:tc>
          <w:tcPr>
            <w:tcW w:w="960" w:type="dxa"/>
            <w:vMerge w:val="restart"/>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Sipo</w:t>
            </w:r>
          </w:p>
        </w:tc>
        <w:tc>
          <w:tcPr>
            <w:tcW w:w="1840"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utile</w:t>
            </w:r>
          </w:p>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Gabon</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Sépulchre </w:t>
            </w:r>
            <w:r>
              <w:rPr>
                <w:rStyle w:val="AucunA"/>
                <w:i/>
                <w:iCs/>
                <w:sz w:val="18"/>
                <w:szCs w:val="18"/>
              </w:rPr>
              <w:t>et al.</w:t>
            </w:r>
            <w:r>
              <w:rPr>
                <w:rStyle w:val="AucunA"/>
                <w:sz w:val="18"/>
                <w:szCs w:val="18"/>
              </w:rPr>
              <w:t>, 2008</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val="restart"/>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110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Ghana</w:t>
            </w:r>
          </w:p>
        </w:tc>
        <w:tc>
          <w:tcPr>
            <w:tcW w:w="18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Mujuni, 2008</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100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Cam</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Libéria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CI</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RDC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val="restart"/>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Tiama</w:t>
            </w:r>
          </w:p>
        </w:tc>
        <w:tc>
          <w:tcPr>
            <w:tcW w:w="1840"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3A53F7" w:rsidRDefault="00670B5E">
            <w:pPr>
              <w:pStyle w:val="CorpsB"/>
            </w:pPr>
            <w:r>
              <w:rPr>
                <w:rStyle w:val="AucunA"/>
                <w:i/>
                <w:iCs/>
                <w:sz w:val="18"/>
                <w:szCs w:val="18"/>
              </w:rPr>
              <w:t>E. angolense</w:t>
            </w:r>
          </w:p>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55</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Petrucci </w:t>
            </w:r>
            <w:r>
              <w:rPr>
                <w:rStyle w:val="AucunA"/>
                <w:i/>
                <w:iCs/>
                <w:sz w:val="18"/>
                <w:szCs w:val="18"/>
              </w:rPr>
              <w:t>et al.</w:t>
            </w:r>
            <w:r>
              <w:rPr>
                <w:rStyle w:val="AucunA"/>
                <w:sz w:val="18"/>
                <w:szCs w:val="18"/>
              </w:rPr>
              <w:t>, 1995</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50</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RCA</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Yalibanda, 1999</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11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85</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 </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 xml:space="preserve">Ouganda </w:t>
            </w:r>
          </w:p>
        </w:tc>
        <w:tc>
          <w:tcPr>
            <w:tcW w:w="18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Plumptre, 1995</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val="restart"/>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rFonts w:ascii="Calibri" w:eastAsia="Calibri" w:hAnsi="Calibri" w:cs="Calibri"/>
                <w:sz w:val="18"/>
                <w:szCs w:val="18"/>
              </w:rPr>
              <w:t> </w:t>
            </w:r>
          </w:p>
        </w:tc>
        <w:tc>
          <w:tcPr>
            <w:tcW w:w="11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rFonts w:ascii="Calibri" w:eastAsia="Calibri" w:hAnsi="Calibri" w:cs="Calibri"/>
                <w:sz w:val="18"/>
                <w:szCs w:val="18"/>
              </w:rPr>
              <w:t> </w:t>
            </w:r>
          </w:p>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110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Ghana</w:t>
            </w:r>
          </w:p>
        </w:tc>
        <w:tc>
          <w:tcPr>
            <w:tcW w:w="182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B"/>
            </w:pPr>
            <w:r>
              <w:rPr>
                <w:rStyle w:val="AucunA"/>
                <w:sz w:val="18"/>
                <w:szCs w:val="18"/>
              </w:rPr>
              <w:t>Tchinda, 2008</w:t>
            </w:r>
          </w:p>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90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Libéria</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60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CI</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Gabon</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Cam</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r w:rsidR="003A53F7" w:rsidTr="00AF6093">
        <w:trPr>
          <w:trHeight w:val="262"/>
        </w:trPr>
        <w:tc>
          <w:tcPr>
            <w:tcW w:w="960" w:type="dxa"/>
            <w:vMerge/>
            <w:tcBorders>
              <w:top w:val="single" w:sz="4" w:space="0" w:color="000000"/>
              <w:left w:val="nil"/>
              <w:bottom w:val="single" w:sz="4" w:space="0" w:color="000000"/>
              <w:right w:val="single" w:sz="4" w:space="0" w:color="000000"/>
            </w:tcBorders>
            <w:shd w:val="clear" w:color="auto" w:fill="auto"/>
          </w:tcPr>
          <w:p w:rsidR="003A53F7" w:rsidRDefault="003A53F7"/>
        </w:tc>
        <w:tc>
          <w:tcPr>
            <w:tcW w:w="1840" w:type="dxa"/>
            <w:vMerge/>
            <w:tcBorders>
              <w:top w:val="single" w:sz="4" w:space="0" w:color="000000"/>
              <w:left w:val="single" w:sz="4" w:space="0" w:color="000000"/>
              <w:bottom w:val="single" w:sz="4" w:space="0" w:color="000000"/>
              <w:right w:val="single" w:sz="4" w:space="0" w:color="000000"/>
            </w:tcBorders>
            <w:shd w:val="clear" w:color="auto" w:fill="auto"/>
          </w:tcPr>
          <w:p w:rsidR="003A53F7" w:rsidRDefault="003A53F7"/>
        </w:tc>
        <w:tc>
          <w:tcPr>
            <w:tcW w:w="1060" w:type="dxa"/>
            <w:vMerge/>
            <w:tcBorders>
              <w:top w:val="single" w:sz="4" w:space="0" w:color="000000"/>
              <w:left w:val="single" w:sz="4" w:space="0" w:color="000000"/>
              <w:bottom w:val="single" w:sz="4" w:space="0" w:color="000000"/>
              <w:right w:val="nil"/>
            </w:tcBorders>
            <w:shd w:val="clear" w:color="auto" w:fill="auto"/>
          </w:tcPr>
          <w:p w:rsidR="003A53F7" w:rsidRDefault="003A53F7"/>
        </w:tc>
        <w:tc>
          <w:tcPr>
            <w:tcW w:w="1120" w:type="dxa"/>
            <w:vMerge/>
            <w:tcBorders>
              <w:top w:val="single" w:sz="4" w:space="0" w:color="000000"/>
              <w:left w:val="nil"/>
              <w:bottom w:val="single" w:sz="4" w:space="0" w:color="000000"/>
              <w:right w:val="nil"/>
            </w:tcBorders>
            <w:shd w:val="clear" w:color="auto" w:fill="auto"/>
          </w:tcPr>
          <w:p w:rsidR="003A53F7" w:rsidRDefault="003A53F7"/>
        </w:tc>
        <w:tc>
          <w:tcPr>
            <w:tcW w:w="118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jc w:val="center"/>
            </w:pPr>
            <w:r>
              <w:rPr>
                <w:rStyle w:val="AucunA"/>
                <w:sz w:val="18"/>
                <w:szCs w:val="18"/>
              </w:rPr>
              <w:t>80</w:t>
            </w:r>
          </w:p>
        </w:tc>
        <w:tc>
          <w:tcPr>
            <w:tcW w:w="9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bottom"/>
          </w:tcPr>
          <w:p w:rsidR="003A53F7" w:rsidRDefault="00670B5E">
            <w:pPr>
              <w:pStyle w:val="CorpsB"/>
            </w:pPr>
            <w:r>
              <w:rPr>
                <w:rStyle w:val="AucunA"/>
                <w:sz w:val="18"/>
                <w:szCs w:val="18"/>
              </w:rPr>
              <w:t>RDC</w:t>
            </w:r>
          </w:p>
        </w:tc>
        <w:tc>
          <w:tcPr>
            <w:tcW w:w="1820" w:type="dxa"/>
            <w:vMerge/>
            <w:tcBorders>
              <w:top w:val="single" w:sz="4" w:space="0" w:color="000000"/>
              <w:left w:val="nil"/>
              <w:bottom w:val="single" w:sz="4" w:space="0" w:color="000000"/>
              <w:right w:val="nil"/>
            </w:tcBorders>
            <w:shd w:val="clear" w:color="auto" w:fill="auto"/>
          </w:tcPr>
          <w:p w:rsidR="003A53F7" w:rsidRDefault="003A53F7"/>
        </w:tc>
      </w:tr>
    </w:tbl>
    <w:p w:rsidR="003A53F7" w:rsidRDefault="003A53F7">
      <w:pPr>
        <w:pStyle w:val="CorpsA"/>
        <w:widowControl w:val="0"/>
        <w:suppressAutoHyphens/>
        <w:spacing w:after="0" w:line="240" w:lineRule="auto"/>
        <w:ind w:left="55" w:hanging="55"/>
        <w:jc w:val="both"/>
        <w:rPr>
          <w:rFonts w:ascii="Times New Roman" w:eastAsia="Times New Roman" w:hAnsi="Times New Roman" w:cs="Times New Roman"/>
          <w:sz w:val="18"/>
          <w:szCs w:val="18"/>
        </w:rPr>
      </w:pPr>
    </w:p>
    <w:p w:rsidR="003A53F7" w:rsidRDefault="00670B5E">
      <w:pPr>
        <w:pStyle w:val="CorpsA"/>
        <w:widowControl w:val="0"/>
        <w:suppressAutoHyphens/>
        <w:spacing w:line="240" w:lineRule="auto"/>
        <w:jc w:val="both"/>
        <w:rPr>
          <w:rStyle w:val="AucunA"/>
          <w:rFonts w:ascii="Times New Roman" w:eastAsia="Times New Roman" w:hAnsi="Times New Roman" w:cs="Times New Roman"/>
          <w:i/>
          <w:iCs/>
          <w:sz w:val="18"/>
          <w:szCs w:val="18"/>
        </w:rPr>
      </w:pPr>
      <w:r>
        <w:rPr>
          <w:rStyle w:val="AucunA"/>
          <w:rFonts w:ascii="Times New Roman" w:hAnsi="Times New Roman"/>
          <w:sz w:val="18"/>
          <w:szCs w:val="18"/>
        </w:rPr>
        <w:t xml:space="preserve">« - » : pas d’information </w:t>
      </w:r>
    </w:p>
    <w:p w:rsidR="003A53F7" w:rsidRDefault="003A53F7">
      <w:pPr>
        <w:pStyle w:val="CorpsA"/>
        <w:widowControl w:val="0"/>
        <w:suppressAutoHyphens/>
        <w:spacing w:line="240" w:lineRule="auto"/>
        <w:jc w:val="both"/>
        <w:rPr>
          <w:rFonts w:ascii="Times New Roman" w:eastAsia="Times New Roman" w:hAnsi="Times New Roman" w:cs="Times New Roman"/>
          <w:i/>
          <w:iCs/>
          <w:sz w:val="18"/>
          <w:szCs w:val="18"/>
        </w:rPr>
      </w:pPr>
    </w:p>
    <w:p w:rsidR="003A53F7" w:rsidRDefault="003A53F7">
      <w:pPr>
        <w:pStyle w:val="CorpsCA"/>
        <w:sectPr w:rsidR="003A53F7">
          <w:pgSz w:w="11900" w:h="16840"/>
          <w:pgMar w:top="1418" w:right="1418" w:bottom="1418" w:left="1418" w:header="709" w:footer="709" w:gutter="0"/>
          <w:cols w:space="720"/>
        </w:sectPr>
      </w:pPr>
    </w:p>
    <w:p w:rsidR="003A53F7" w:rsidRDefault="00670B5E" w:rsidP="00160ACA">
      <w:pPr>
        <w:pStyle w:val="CorpsA"/>
        <w:suppressAutoHyphens/>
        <w:spacing w:after="0" w:line="360" w:lineRule="auto"/>
        <w:jc w:val="both"/>
        <w:rPr>
          <w:rStyle w:val="AucunA"/>
          <w:rFonts w:ascii="Times New Roman" w:eastAsia="Times New Roman" w:hAnsi="Times New Roman" w:cs="Times New Roman"/>
          <w:i/>
          <w:iCs/>
        </w:rPr>
      </w:pPr>
      <w:r>
        <w:rPr>
          <w:rStyle w:val="AucunA"/>
          <w:rFonts w:ascii="Times New Roman" w:hAnsi="Times New Roman"/>
          <w:b/>
          <w:bCs/>
        </w:rPr>
        <w:lastRenderedPageBreak/>
        <w:t>Tableau VI.</w:t>
      </w:r>
      <w:r>
        <w:rPr>
          <w:rStyle w:val="AucunA"/>
          <w:rFonts w:ascii="Times New Roman" w:hAnsi="Times New Roman"/>
        </w:rPr>
        <w:t xml:space="preserve"> Usage social de 4 espèces d’</w:t>
      </w:r>
      <w:r>
        <w:rPr>
          <w:rStyle w:val="AucunA"/>
          <w:rFonts w:ascii="Times New Roman" w:hAnsi="Times New Roman"/>
          <w:i/>
          <w:iCs/>
        </w:rPr>
        <w:t>Entandrophragma.</w:t>
      </w:r>
    </w:p>
    <w:tbl>
      <w:tblPr>
        <w:tblStyle w:val="TableNormal1"/>
        <w:tblW w:w="1244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30"/>
        <w:gridCol w:w="3020"/>
        <w:gridCol w:w="1843"/>
        <w:gridCol w:w="3260"/>
        <w:gridCol w:w="2693"/>
      </w:tblGrid>
      <w:tr w:rsidR="003A53F7">
        <w:trPr>
          <w:trHeight w:val="307"/>
        </w:trPr>
        <w:tc>
          <w:tcPr>
            <w:tcW w:w="163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b/>
                <w:bCs/>
                <w:sz w:val="18"/>
                <w:szCs w:val="18"/>
              </w:rPr>
              <w:t>Parties utilisées</w:t>
            </w:r>
          </w:p>
        </w:tc>
        <w:tc>
          <w:tcPr>
            <w:tcW w:w="10816" w:type="dxa"/>
            <w:gridSpan w:val="4"/>
            <w:tcBorders>
              <w:top w:val="single" w:sz="4" w:space="0" w:color="000000"/>
              <w:left w:val="nil"/>
              <w:bottom w:val="nil"/>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jc w:val="center"/>
            </w:pPr>
            <w:r>
              <w:rPr>
                <w:rStyle w:val="AucunA"/>
                <w:rFonts w:ascii="Times New Roman" w:hAnsi="Times New Roman"/>
                <w:b/>
                <w:bCs/>
                <w:sz w:val="18"/>
                <w:szCs w:val="18"/>
              </w:rPr>
              <w:t>Usages</w:t>
            </w:r>
          </w:p>
        </w:tc>
      </w:tr>
      <w:tr w:rsidR="003A53F7" w:rsidTr="00AF6093">
        <w:trPr>
          <w:trHeight w:val="284"/>
        </w:trPr>
        <w:tc>
          <w:tcPr>
            <w:tcW w:w="1630" w:type="dxa"/>
            <w:vMerge/>
            <w:tcBorders>
              <w:top w:val="single" w:sz="4" w:space="0" w:color="000000"/>
              <w:left w:val="nil"/>
              <w:bottom w:val="single" w:sz="4" w:space="0" w:color="000000"/>
              <w:right w:val="nil"/>
            </w:tcBorders>
            <w:shd w:val="clear" w:color="auto" w:fill="auto"/>
          </w:tcPr>
          <w:p w:rsidR="003A53F7" w:rsidRDefault="003A53F7"/>
        </w:tc>
        <w:tc>
          <w:tcPr>
            <w:tcW w:w="3020"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b/>
                <w:bCs/>
                <w:i/>
                <w:iCs/>
                <w:sz w:val="18"/>
                <w:szCs w:val="18"/>
              </w:rPr>
              <w:t xml:space="preserve">E. angolense </w:t>
            </w:r>
            <w:r>
              <w:rPr>
                <w:rStyle w:val="AucunA"/>
                <w:rFonts w:ascii="Times New Roman" w:hAnsi="Times New Roman"/>
                <w:b/>
                <w:bCs/>
                <w:sz w:val="18"/>
                <w:szCs w:val="18"/>
              </w:rPr>
              <w:t>(tiama blanc)</w:t>
            </w:r>
          </w:p>
        </w:tc>
        <w:tc>
          <w:tcPr>
            <w:tcW w:w="1843"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b/>
                <w:bCs/>
                <w:i/>
                <w:iCs/>
                <w:sz w:val="18"/>
                <w:szCs w:val="18"/>
              </w:rPr>
              <w:t xml:space="preserve">E. candollei </w:t>
            </w:r>
            <w:r>
              <w:rPr>
                <w:rStyle w:val="AucunA"/>
                <w:rFonts w:ascii="Times New Roman" w:hAnsi="Times New Roman"/>
                <w:b/>
                <w:bCs/>
                <w:sz w:val="18"/>
                <w:szCs w:val="18"/>
              </w:rPr>
              <w:t>(kosipo)</w:t>
            </w:r>
          </w:p>
        </w:tc>
        <w:tc>
          <w:tcPr>
            <w:tcW w:w="3260"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b/>
                <w:bCs/>
                <w:i/>
                <w:iCs/>
                <w:sz w:val="18"/>
                <w:szCs w:val="18"/>
              </w:rPr>
              <w:t xml:space="preserve">E. cylindricum </w:t>
            </w:r>
            <w:r>
              <w:rPr>
                <w:rStyle w:val="AucunA"/>
                <w:rFonts w:ascii="Times New Roman" w:hAnsi="Times New Roman"/>
                <w:b/>
                <w:bCs/>
                <w:sz w:val="18"/>
                <w:szCs w:val="18"/>
              </w:rPr>
              <w:t>(sapelli)</w:t>
            </w:r>
          </w:p>
        </w:tc>
        <w:tc>
          <w:tcPr>
            <w:tcW w:w="2693"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b/>
                <w:bCs/>
                <w:i/>
                <w:iCs/>
                <w:sz w:val="18"/>
                <w:szCs w:val="18"/>
              </w:rPr>
              <w:t xml:space="preserve">E. utile </w:t>
            </w:r>
            <w:r>
              <w:rPr>
                <w:rStyle w:val="AucunA"/>
                <w:rFonts w:ascii="Times New Roman" w:hAnsi="Times New Roman"/>
                <w:b/>
                <w:bCs/>
                <w:sz w:val="18"/>
                <w:szCs w:val="18"/>
              </w:rPr>
              <w:t>(sipo)</w:t>
            </w:r>
          </w:p>
        </w:tc>
      </w:tr>
      <w:tr w:rsidR="003A53F7" w:rsidTr="00AF6093">
        <w:trPr>
          <w:trHeight w:val="818"/>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Arbres</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Utilisé dans le système agroforestier comme arbre d'alignement et d'ombrage.</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Utilisé dans le système agroforestier comme arbre d'alignement, d’ornement et d’ombrage. Hôte des chenilles comestibles.</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3A53F7"/>
        </w:tc>
      </w:tr>
      <w:tr w:rsidR="003A53F7" w:rsidRPr="00642180" w:rsidTr="00AF6093">
        <w:trPr>
          <w:trHeight w:val="817"/>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Bois</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Cercueils, instruments de musique, jouets, sculpture, bois d’œuvre, bois de feu et charbon de bois.</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Bois d’œuvre, jouets et bibelots.</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Instruments de musique, sculpture, jouets, articles de fantaisie, fabrication de pirogues monoxyles, bois d'œuvre, bois de feu et charbon de bois</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Sculpture, fabrication des pirogues monoxyles, bois d'œuvre, bois de feu et charbon de bois. </w:t>
            </w:r>
          </w:p>
        </w:tc>
      </w:tr>
      <w:tr w:rsidR="003A53F7" w:rsidRPr="00642180" w:rsidTr="00AF6093">
        <w:trPr>
          <w:trHeight w:val="1526"/>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Ecorce</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Sa décoction se boit pour traiter la fièvre et l’écorce s’emploie comme antalgique contre les maux d’estomac, les ulcères peptiques, le mal d’oreille, les douleurs rénales, rhumatismales ou arthritiques, l’ophtalmie, les œdèmes et les ulcères.</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Fièvre jaune, paludisme, typhoïde. Utilisée comme antalgique.</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Ses décoctions ou macérations sont utilisées contre la bronchite, d’affections pulmonaires, de rhumes, d’œdèmes et comme antalgique; paludisme. La pulpe contre les furoncles et les plaies. Ses extraits servaient jadis d’agent protecteur du maïs stocké.</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Son jus traite les maux d’estomac et les douleurs aux reins, les rhumatismes, l’instillation oculaire, d’inflammations, l’otite, les maux de tête, le paludisme et les ulcères gastroduodénaux.</w:t>
            </w:r>
          </w:p>
        </w:tc>
      </w:tr>
      <w:tr w:rsidR="003A53F7" w:rsidTr="00AF6093">
        <w:trPr>
          <w:trHeight w:val="388"/>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Feuilles</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Comestibles et hôtes des chenilles du papillon </w:t>
            </w:r>
            <w:r>
              <w:rPr>
                <w:rStyle w:val="AucunA"/>
                <w:rFonts w:ascii="Times New Roman" w:hAnsi="Times New Roman"/>
                <w:i/>
                <w:iCs/>
                <w:sz w:val="18"/>
                <w:szCs w:val="18"/>
              </w:rPr>
              <w:t>Imbrasia oyemensis.</w:t>
            </w:r>
            <w:r>
              <w:rPr>
                <w:rStyle w:val="AucunA"/>
                <w:rFonts w:ascii="Times New Roman" w:hAnsi="Times New Roman"/>
                <w:sz w:val="18"/>
                <w:szCs w:val="18"/>
              </w:rPr>
              <w:t xml:space="preserve"> </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Hôte des chenilles comestibles.</w:t>
            </w:r>
          </w:p>
        </w:tc>
      </w:tr>
      <w:tr w:rsidR="003A53F7" w:rsidRPr="00642180" w:rsidTr="00AF6093">
        <w:trPr>
          <w:trHeight w:val="524"/>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Graines</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Riche source d'huile (teneur lipidique d'environ 60%).</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Source d'huile (d'environ 45% de teneur).</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Source d'huile (d'environ 30-54% de teneur) et d’huile essentielle. </w:t>
            </w:r>
          </w:p>
        </w:tc>
      </w:tr>
      <w:tr w:rsidR="003A53F7" w:rsidTr="00AF6093">
        <w:trPr>
          <w:trHeight w:val="828"/>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Racine</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L’écorce de racine s’applique sur les morsures de serpent.</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w:t>
            </w:r>
          </w:p>
        </w:tc>
      </w:tr>
      <w:tr w:rsidR="003A53F7" w:rsidRPr="003457F0" w:rsidTr="00160ACA">
        <w:trPr>
          <w:trHeight w:val="730"/>
        </w:trPr>
        <w:tc>
          <w:tcPr>
            <w:tcW w:w="163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Sources (Référence)</w:t>
            </w:r>
          </w:p>
        </w:tc>
        <w:tc>
          <w:tcPr>
            <w:tcW w:w="302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Tchinda, 2008</w:t>
            </w:r>
          </w:p>
        </w:tc>
        <w:tc>
          <w:tcPr>
            <w:tcW w:w="184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Dibong </w:t>
            </w:r>
            <w:r>
              <w:rPr>
                <w:rStyle w:val="AucunA"/>
                <w:rFonts w:ascii="Times New Roman" w:hAnsi="Times New Roman"/>
                <w:i/>
                <w:iCs/>
                <w:sz w:val="18"/>
                <w:szCs w:val="18"/>
              </w:rPr>
              <w:t>et al.</w:t>
            </w:r>
            <w:r>
              <w:rPr>
                <w:rStyle w:val="AucunA"/>
                <w:rFonts w:ascii="Times New Roman" w:hAnsi="Times New Roman"/>
                <w:sz w:val="18"/>
                <w:szCs w:val="18"/>
              </w:rPr>
              <w:t>, 2011 ; Nyunaï, 2008</w:t>
            </w:r>
          </w:p>
        </w:tc>
        <w:tc>
          <w:tcPr>
            <w:tcW w:w="32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Jagoret </w:t>
            </w:r>
            <w:r>
              <w:rPr>
                <w:rStyle w:val="AucunA"/>
                <w:rFonts w:ascii="Times New Roman" w:hAnsi="Times New Roman"/>
                <w:i/>
                <w:iCs/>
                <w:sz w:val="18"/>
                <w:szCs w:val="18"/>
              </w:rPr>
              <w:t>et al.</w:t>
            </w:r>
            <w:r>
              <w:rPr>
                <w:rStyle w:val="AucunA"/>
                <w:rFonts w:ascii="Times New Roman" w:hAnsi="Times New Roman"/>
                <w:sz w:val="18"/>
                <w:szCs w:val="18"/>
              </w:rPr>
              <w:t xml:space="preserve">, 2014 ; Mate </w:t>
            </w:r>
            <w:r>
              <w:rPr>
                <w:rStyle w:val="AucunA"/>
                <w:rFonts w:ascii="Times New Roman" w:hAnsi="Times New Roman"/>
                <w:i/>
                <w:iCs/>
                <w:sz w:val="18"/>
                <w:szCs w:val="18"/>
              </w:rPr>
              <w:t>et al.</w:t>
            </w:r>
            <w:r>
              <w:rPr>
                <w:rStyle w:val="AucunA"/>
                <w:rFonts w:ascii="Times New Roman" w:hAnsi="Times New Roman"/>
                <w:sz w:val="18"/>
                <w:szCs w:val="18"/>
              </w:rPr>
              <w:t xml:space="preserve">, 2013 ; Lisingo  </w:t>
            </w:r>
            <w:r>
              <w:rPr>
                <w:rStyle w:val="AucunA"/>
                <w:rFonts w:ascii="Times New Roman" w:hAnsi="Times New Roman"/>
                <w:i/>
                <w:iCs/>
                <w:sz w:val="18"/>
                <w:szCs w:val="18"/>
              </w:rPr>
              <w:t>et al.</w:t>
            </w:r>
            <w:r>
              <w:rPr>
                <w:rStyle w:val="AucunA"/>
                <w:rFonts w:ascii="Times New Roman" w:hAnsi="Times New Roman"/>
                <w:sz w:val="18"/>
                <w:szCs w:val="18"/>
              </w:rPr>
              <w:t xml:space="preserve">, 2012; Dibong </w:t>
            </w:r>
            <w:r>
              <w:rPr>
                <w:rStyle w:val="AucunA"/>
                <w:rFonts w:ascii="Times New Roman" w:hAnsi="Times New Roman"/>
                <w:i/>
                <w:iCs/>
                <w:sz w:val="18"/>
                <w:szCs w:val="18"/>
              </w:rPr>
              <w:t>et al.</w:t>
            </w:r>
            <w:r>
              <w:rPr>
                <w:rStyle w:val="AucunA"/>
                <w:rFonts w:ascii="Times New Roman" w:hAnsi="Times New Roman"/>
                <w:sz w:val="18"/>
                <w:szCs w:val="18"/>
              </w:rPr>
              <w:t>, 2011 ; Kémeuzé, 2008</w:t>
            </w:r>
          </w:p>
        </w:tc>
        <w:tc>
          <w:tcPr>
            <w:tcW w:w="269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3A53F7" w:rsidRDefault="00670B5E">
            <w:pPr>
              <w:pStyle w:val="CorpsA"/>
              <w:suppressAutoHyphens/>
              <w:spacing w:after="0" w:line="240" w:lineRule="auto"/>
            </w:pPr>
            <w:r>
              <w:rPr>
                <w:rStyle w:val="AucunA"/>
                <w:rFonts w:ascii="Times New Roman" w:hAnsi="Times New Roman"/>
                <w:sz w:val="18"/>
                <w:szCs w:val="18"/>
              </w:rPr>
              <w:t xml:space="preserve">Mate </w:t>
            </w:r>
            <w:r>
              <w:rPr>
                <w:rStyle w:val="AucunA"/>
                <w:rFonts w:ascii="Times New Roman" w:hAnsi="Times New Roman"/>
                <w:i/>
                <w:iCs/>
                <w:sz w:val="18"/>
                <w:szCs w:val="18"/>
              </w:rPr>
              <w:t>et al.</w:t>
            </w:r>
            <w:r>
              <w:rPr>
                <w:rStyle w:val="AucunA"/>
                <w:rFonts w:ascii="Times New Roman" w:hAnsi="Times New Roman"/>
                <w:sz w:val="18"/>
                <w:szCs w:val="18"/>
              </w:rPr>
              <w:t xml:space="preserve">, 2013 ; Lisingo </w:t>
            </w:r>
            <w:r>
              <w:rPr>
                <w:rStyle w:val="AucunA"/>
                <w:rFonts w:ascii="Times New Roman" w:hAnsi="Times New Roman"/>
                <w:i/>
                <w:iCs/>
                <w:sz w:val="18"/>
                <w:szCs w:val="18"/>
              </w:rPr>
              <w:t>et al.</w:t>
            </w:r>
            <w:r>
              <w:rPr>
                <w:rStyle w:val="AucunA"/>
                <w:rFonts w:ascii="Times New Roman" w:hAnsi="Times New Roman"/>
                <w:sz w:val="18"/>
                <w:szCs w:val="18"/>
              </w:rPr>
              <w:t>, 2012; Mujuni, 2008 ; Onifade, 2006</w:t>
            </w:r>
          </w:p>
        </w:tc>
      </w:tr>
    </w:tbl>
    <w:p w:rsidR="003A53F7" w:rsidRDefault="00AF6093" w:rsidP="00160ACA">
      <w:pPr>
        <w:pStyle w:val="CorpsA"/>
        <w:suppressAutoHyphens/>
        <w:spacing w:after="0" w:line="360" w:lineRule="auto"/>
        <w:jc w:val="both"/>
        <w:rPr>
          <w:rStyle w:val="AucunA"/>
          <w:rFonts w:ascii="Times New Roman" w:hAnsi="Times New Roman"/>
        </w:rPr>
      </w:pPr>
      <w:r>
        <w:rPr>
          <w:rStyle w:val="AucunA"/>
          <w:rFonts w:ascii="Times New Roman" w:hAnsi="Times New Roman"/>
        </w:rPr>
        <w:t xml:space="preserve"> </w:t>
      </w:r>
      <w:r w:rsidR="00670B5E">
        <w:rPr>
          <w:rStyle w:val="AucunA"/>
          <w:rFonts w:ascii="Times New Roman" w:hAnsi="Times New Roman"/>
        </w:rPr>
        <w:t xml:space="preserve">« - » : pas d’information </w:t>
      </w:r>
    </w:p>
    <w:p w:rsidR="00160ACA" w:rsidRDefault="00160ACA">
      <w:pPr>
        <w:pStyle w:val="CorpsA"/>
        <w:suppressAutoHyphens/>
        <w:spacing w:line="360" w:lineRule="auto"/>
        <w:jc w:val="both"/>
        <w:rPr>
          <w:rStyle w:val="AucunA"/>
          <w:rFonts w:ascii="Times New Roman" w:eastAsia="Times New Roman" w:hAnsi="Times New Roman" w:cs="Times New Roman"/>
        </w:rPr>
      </w:pPr>
    </w:p>
    <w:p w:rsidR="003A53F7" w:rsidRDefault="003A53F7">
      <w:pPr>
        <w:pStyle w:val="CorpsA"/>
        <w:suppressAutoHyphens/>
        <w:spacing w:line="360" w:lineRule="auto"/>
        <w:jc w:val="both"/>
        <w:sectPr w:rsidR="003A53F7" w:rsidSect="00AF6093">
          <w:pgSz w:w="16840" w:h="11900" w:orient="landscape"/>
          <w:pgMar w:top="1418" w:right="1418" w:bottom="1418" w:left="1418" w:header="709" w:footer="709" w:gutter="0"/>
          <w:cols w:space="720"/>
          <w:docGrid w:linePitch="326"/>
        </w:sectPr>
      </w:pP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eastAsia="Times New Roman" w:hAnsi="Times New Roman" w:cs="Times New Roman"/>
          <w:noProof/>
          <w:lang w:val="en-US" w:eastAsia="en-US"/>
        </w:rPr>
        <w:lastRenderedPageBreak/>
        <w:drawing>
          <wp:inline distT="0" distB="0" distL="0" distR="0">
            <wp:extent cx="5478449" cy="4105283"/>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4.png"/>
                    <pic:cNvPicPr>
                      <a:picLocks noChangeAspect="1"/>
                    </pic:cNvPicPr>
                  </pic:nvPicPr>
                  <pic:blipFill>
                    <a:blip r:embed="rId31">
                      <a:extLst/>
                    </a:blip>
                    <a:stretch>
                      <a:fillRect/>
                    </a:stretch>
                  </pic:blipFill>
                  <pic:spPr>
                    <a:xfrm>
                      <a:off x="0" y="0"/>
                      <a:ext cx="5478449" cy="4105283"/>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1.</w:t>
      </w:r>
      <w:r>
        <w:rPr>
          <w:rStyle w:val="AucunA"/>
          <w:rFonts w:ascii="Times New Roman" w:hAnsi="Times New Roman"/>
        </w:rPr>
        <w:t xml:space="preserve"> Deux rondelles d’une d</w:t>
      </w:r>
      <w:r>
        <w:rPr>
          <w:rStyle w:val="AucunA"/>
          <w:rFonts w:ascii="Times New Roman" w:hAnsi="Times New Roman"/>
          <w:i/>
          <w:iCs/>
        </w:rPr>
        <w:t>’Entandrophragma candollei</w:t>
      </w:r>
      <w:r>
        <w:rPr>
          <w:rStyle w:val="AucunA"/>
          <w:rFonts w:ascii="Times New Roman" w:hAnsi="Times New Roman"/>
        </w:rPr>
        <w:t xml:space="preserve"> coupée dans la réserve de biosphère de Yangambi (dans la zone tampon, dédiée notamment à la recherche forestière) en RDC pour l’analyse des cernes de croissance et d’isotopes stables. (Photo : Henri Badjoko)</w:t>
      </w:r>
    </w:p>
    <w:p w:rsidR="003A53F7" w:rsidRDefault="003A53F7">
      <w:pPr>
        <w:pStyle w:val="CorpsA"/>
        <w:suppressAutoHyphens/>
        <w:spacing w:line="360" w:lineRule="auto"/>
        <w:jc w:val="both"/>
      </w:pPr>
    </w:p>
    <w:p w:rsidR="003A53F7" w:rsidRDefault="003A53F7">
      <w:pPr>
        <w:pStyle w:val="CorpsA"/>
        <w:suppressAutoHyphens/>
        <w:spacing w:line="360" w:lineRule="auto"/>
        <w:jc w:val="both"/>
      </w:pPr>
    </w:p>
    <w:p w:rsidR="003A53F7" w:rsidRDefault="00670B5E">
      <w:pPr>
        <w:pStyle w:val="CorpsA"/>
        <w:suppressAutoHyphens/>
        <w:spacing w:line="360" w:lineRule="auto"/>
        <w:jc w:val="both"/>
      </w:pPr>
      <w:r>
        <w:rPr>
          <w:noProof/>
          <w:lang w:val="en-US" w:eastAsia="en-US"/>
        </w:rPr>
        <w:lastRenderedPageBreak/>
        <w:drawing>
          <wp:inline distT="0" distB="0" distL="0" distR="0">
            <wp:extent cx="4524294" cy="6031084"/>
            <wp:effectExtent l="0" t="0" r="0" b="0"/>
            <wp:docPr id="1073741829" name="officeArt object" descr="H:\BFT Photos\CIMG1622.JPG"/>
            <wp:cNvGraphicFramePr/>
            <a:graphic xmlns:a="http://schemas.openxmlformats.org/drawingml/2006/main">
              <a:graphicData uri="http://schemas.openxmlformats.org/drawingml/2006/picture">
                <pic:pic xmlns:pic="http://schemas.openxmlformats.org/drawingml/2006/picture">
                  <pic:nvPicPr>
                    <pic:cNvPr id="1073741829" name="image5.jpg" descr="H:\BFT Photos\CIMG1622.JPG"/>
                    <pic:cNvPicPr>
                      <a:picLocks noChangeAspect="1"/>
                    </pic:cNvPicPr>
                  </pic:nvPicPr>
                  <pic:blipFill>
                    <a:blip r:embed="rId32">
                      <a:extLst/>
                    </a:blip>
                    <a:stretch>
                      <a:fillRect/>
                    </a:stretch>
                  </pic:blipFill>
                  <pic:spPr>
                    <a:xfrm>
                      <a:off x="0" y="0"/>
                      <a:ext cx="4524294" cy="6031084"/>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2.</w:t>
      </w:r>
      <w:r>
        <w:rPr>
          <w:rStyle w:val="AucunA"/>
          <w:rFonts w:ascii="Times New Roman" w:hAnsi="Times New Roman"/>
        </w:rPr>
        <w:t xml:space="preserve"> Mise en paille et inscription des données d’une carotte extraite d’une tige d’</w:t>
      </w:r>
      <w:r>
        <w:rPr>
          <w:rStyle w:val="AucunA"/>
          <w:rFonts w:ascii="Times New Roman" w:hAnsi="Times New Roman"/>
          <w:i/>
          <w:iCs/>
        </w:rPr>
        <w:t>Entandrophragma sp</w:t>
      </w:r>
      <w:r>
        <w:rPr>
          <w:rStyle w:val="AucunA"/>
          <w:rFonts w:ascii="Times New Roman" w:hAnsi="Times New Roman"/>
        </w:rPr>
        <w:t xml:space="preserve"> dans la zone tampon de la Réserve de Biosphère de Yangambi. (Photo : Maarten Devri</w:t>
      </w:r>
      <w:r w:rsidR="00160ACA">
        <w:rPr>
          <w:rStyle w:val="AucunA"/>
          <w:rFonts w:ascii="Times New Roman" w:hAnsi="Times New Roman"/>
        </w:rPr>
        <w:t>e</w:t>
      </w:r>
      <w:r>
        <w:rPr>
          <w:rStyle w:val="AucunA"/>
          <w:rFonts w:ascii="Times New Roman" w:hAnsi="Times New Roman"/>
        </w:rPr>
        <w:t>ndt)</w:t>
      </w:r>
    </w:p>
    <w:p w:rsidR="003A53F7" w:rsidRDefault="00670B5E">
      <w:pPr>
        <w:pStyle w:val="CorpsA"/>
        <w:suppressAutoHyphens/>
        <w:spacing w:line="360" w:lineRule="auto"/>
        <w:jc w:val="both"/>
      </w:pPr>
      <w:r>
        <w:rPr>
          <w:noProof/>
          <w:lang w:val="en-US" w:eastAsia="en-US"/>
        </w:rPr>
        <w:lastRenderedPageBreak/>
        <w:drawing>
          <wp:inline distT="0" distB="0" distL="0" distR="0">
            <wp:extent cx="4347377" cy="5796501"/>
            <wp:effectExtent l="0" t="0" r="0" b="0"/>
            <wp:docPr id="1073741830" name="officeArt object" descr="H:\BFT Photos\ENAN_Y_18_2.JPG"/>
            <wp:cNvGraphicFramePr/>
            <a:graphic xmlns:a="http://schemas.openxmlformats.org/drawingml/2006/main">
              <a:graphicData uri="http://schemas.openxmlformats.org/drawingml/2006/picture">
                <pic:pic xmlns:pic="http://schemas.openxmlformats.org/drawingml/2006/picture">
                  <pic:nvPicPr>
                    <pic:cNvPr id="1073741830" name="image6.jpg" descr="H:\BFT Photos\ENAN_Y_18_2.JPG"/>
                    <pic:cNvPicPr>
                      <a:picLocks noChangeAspect="1"/>
                    </pic:cNvPicPr>
                  </pic:nvPicPr>
                  <pic:blipFill>
                    <a:blip r:embed="rId33">
                      <a:extLst/>
                    </a:blip>
                    <a:stretch>
                      <a:fillRect/>
                    </a:stretch>
                  </pic:blipFill>
                  <pic:spPr>
                    <a:xfrm>
                      <a:off x="0" y="0"/>
                      <a:ext cx="4347377" cy="5796501"/>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3.</w:t>
      </w:r>
      <w:r>
        <w:rPr>
          <w:rStyle w:val="AucunA"/>
          <w:rFonts w:ascii="Times New Roman" w:hAnsi="Times New Roman"/>
        </w:rPr>
        <w:t xml:space="preserve"> Tige d’</w:t>
      </w:r>
      <w:r>
        <w:rPr>
          <w:rStyle w:val="AucunA"/>
          <w:rFonts w:ascii="Times New Roman" w:hAnsi="Times New Roman"/>
          <w:i/>
          <w:iCs/>
        </w:rPr>
        <w:t xml:space="preserve">Entadrophragma angolense </w:t>
      </w:r>
      <w:r>
        <w:rPr>
          <w:rStyle w:val="AucunA"/>
          <w:rFonts w:ascii="Times New Roman" w:hAnsi="Times New Roman"/>
        </w:rPr>
        <w:t>dans la Réserve de Biosphère de Yangambi. (Photo : Maarten Devri</w:t>
      </w:r>
      <w:r w:rsidR="00160ACA">
        <w:rPr>
          <w:rStyle w:val="AucunA"/>
          <w:rFonts w:ascii="Times New Roman" w:hAnsi="Times New Roman"/>
        </w:rPr>
        <w:t>e</w:t>
      </w:r>
      <w:r>
        <w:rPr>
          <w:rStyle w:val="AucunA"/>
          <w:rFonts w:ascii="Times New Roman" w:hAnsi="Times New Roman"/>
        </w:rPr>
        <w:t>ndt)</w:t>
      </w:r>
    </w:p>
    <w:p w:rsidR="003A53F7" w:rsidRDefault="003A53F7">
      <w:pPr>
        <w:pStyle w:val="CorpsA"/>
        <w:suppressAutoHyphens/>
        <w:spacing w:line="360" w:lineRule="auto"/>
        <w:jc w:val="both"/>
        <w:rPr>
          <w:rFonts w:ascii="Times New Roman" w:eastAsia="Times New Roman" w:hAnsi="Times New Roman" w:cs="Times New Roman"/>
        </w:rPr>
      </w:pPr>
    </w:p>
    <w:p w:rsidR="003A53F7" w:rsidRDefault="00670B5E">
      <w:pPr>
        <w:pStyle w:val="CorpsA"/>
        <w:suppressAutoHyphens/>
        <w:spacing w:line="360" w:lineRule="auto"/>
        <w:jc w:val="both"/>
      </w:pPr>
      <w:r>
        <w:rPr>
          <w:noProof/>
          <w:lang w:val="en-US" w:eastAsia="en-US"/>
        </w:rPr>
        <w:lastRenderedPageBreak/>
        <w:drawing>
          <wp:inline distT="0" distB="0" distL="0" distR="0">
            <wp:extent cx="4401048" cy="5868063"/>
            <wp:effectExtent l="0" t="0" r="0" b="0"/>
            <wp:docPr id="1073741831" name="officeArt object" descr="H:\BFT Photos\ENUT_Y_4_stam1.JPG"/>
            <wp:cNvGraphicFramePr/>
            <a:graphic xmlns:a="http://schemas.openxmlformats.org/drawingml/2006/main">
              <a:graphicData uri="http://schemas.openxmlformats.org/drawingml/2006/picture">
                <pic:pic xmlns:pic="http://schemas.openxmlformats.org/drawingml/2006/picture">
                  <pic:nvPicPr>
                    <pic:cNvPr id="1073741831" name="image7.jpg" descr="H:\BFT Photos\ENUT_Y_4_stam1.JPG"/>
                    <pic:cNvPicPr>
                      <a:picLocks noChangeAspect="1"/>
                    </pic:cNvPicPr>
                  </pic:nvPicPr>
                  <pic:blipFill>
                    <a:blip r:embed="rId34">
                      <a:extLst/>
                    </a:blip>
                    <a:stretch>
                      <a:fillRect/>
                    </a:stretch>
                  </pic:blipFill>
                  <pic:spPr>
                    <a:xfrm>
                      <a:off x="0" y="0"/>
                      <a:ext cx="4401048" cy="5868063"/>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4.</w:t>
      </w:r>
      <w:r>
        <w:rPr>
          <w:rStyle w:val="AucunA"/>
          <w:rFonts w:ascii="Times New Roman" w:hAnsi="Times New Roman"/>
        </w:rPr>
        <w:t xml:space="preserve"> Tige d’</w:t>
      </w:r>
      <w:r>
        <w:rPr>
          <w:rStyle w:val="AucunA"/>
          <w:rFonts w:ascii="Times New Roman" w:hAnsi="Times New Roman"/>
          <w:i/>
          <w:iCs/>
        </w:rPr>
        <w:t xml:space="preserve">Entandrophragma utile </w:t>
      </w:r>
      <w:r>
        <w:rPr>
          <w:rStyle w:val="AucunA"/>
          <w:rFonts w:ascii="Times New Roman" w:hAnsi="Times New Roman"/>
        </w:rPr>
        <w:t>dans la Réserve de Biosphère de Yangambi (Photo : Maarten Devri</w:t>
      </w:r>
      <w:r w:rsidR="00160ACA">
        <w:rPr>
          <w:rStyle w:val="AucunA"/>
          <w:rFonts w:ascii="Times New Roman" w:hAnsi="Times New Roman"/>
        </w:rPr>
        <w:t>e</w:t>
      </w:r>
      <w:r>
        <w:rPr>
          <w:rStyle w:val="AucunA"/>
          <w:rFonts w:ascii="Times New Roman" w:hAnsi="Times New Roman"/>
        </w:rPr>
        <w:t>ndt)</w:t>
      </w:r>
    </w:p>
    <w:p w:rsidR="003A53F7" w:rsidRDefault="003A53F7">
      <w:pPr>
        <w:pStyle w:val="CorpsA"/>
        <w:suppressAutoHyphens/>
        <w:spacing w:line="360" w:lineRule="auto"/>
        <w:jc w:val="both"/>
        <w:rPr>
          <w:rFonts w:ascii="Times New Roman" w:eastAsia="Times New Roman" w:hAnsi="Times New Roman" w:cs="Times New Roman"/>
        </w:rPr>
      </w:pPr>
    </w:p>
    <w:p w:rsidR="003A53F7" w:rsidRDefault="00670B5E">
      <w:pPr>
        <w:pStyle w:val="CorpsA"/>
        <w:suppressAutoHyphens/>
        <w:spacing w:line="360" w:lineRule="auto"/>
        <w:jc w:val="both"/>
      </w:pPr>
      <w:r>
        <w:rPr>
          <w:noProof/>
          <w:lang w:val="en-US" w:eastAsia="en-US"/>
        </w:rPr>
        <w:lastRenderedPageBreak/>
        <w:drawing>
          <wp:inline distT="0" distB="0" distL="0" distR="0">
            <wp:extent cx="4349364" cy="5799151"/>
            <wp:effectExtent l="0" t="0" r="0" b="0"/>
            <wp:docPr id="1073741832" name="officeArt object" descr="H:\BFT Photos\ENCA_Y_36_8.JPG"/>
            <wp:cNvGraphicFramePr/>
            <a:graphic xmlns:a="http://schemas.openxmlformats.org/drawingml/2006/main">
              <a:graphicData uri="http://schemas.openxmlformats.org/drawingml/2006/picture">
                <pic:pic xmlns:pic="http://schemas.openxmlformats.org/drawingml/2006/picture">
                  <pic:nvPicPr>
                    <pic:cNvPr id="1073741832" name="image8.jpg" descr="H:\BFT Photos\ENCA_Y_36_8.JPG"/>
                    <pic:cNvPicPr>
                      <a:picLocks noChangeAspect="1"/>
                    </pic:cNvPicPr>
                  </pic:nvPicPr>
                  <pic:blipFill>
                    <a:blip r:embed="rId35">
                      <a:extLst/>
                    </a:blip>
                    <a:stretch>
                      <a:fillRect/>
                    </a:stretch>
                  </pic:blipFill>
                  <pic:spPr>
                    <a:xfrm>
                      <a:off x="0" y="0"/>
                      <a:ext cx="4349364" cy="5799151"/>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5.</w:t>
      </w:r>
      <w:r>
        <w:rPr>
          <w:rStyle w:val="AucunA"/>
          <w:rFonts w:ascii="Times New Roman" w:hAnsi="Times New Roman"/>
        </w:rPr>
        <w:t xml:space="preserve"> Mesure d’accroissement diamétrique d’une tige d’</w:t>
      </w:r>
      <w:r>
        <w:rPr>
          <w:rStyle w:val="AucunA"/>
          <w:rFonts w:ascii="Times New Roman" w:hAnsi="Times New Roman"/>
          <w:i/>
          <w:iCs/>
        </w:rPr>
        <w:t xml:space="preserve">Entandrophragma cylindricum </w:t>
      </w:r>
      <w:r>
        <w:rPr>
          <w:rStyle w:val="AucunA"/>
          <w:rFonts w:ascii="Times New Roman" w:hAnsi="Times New Roman"/>
        </w:rPr>
        <w:t>(Photo : Maarten Devri</w:t>
      </w:r>
      <w:r w:rsidR="00160ACA">
        <w:rPr>
          <w:rStyle w:val="AucunA"/>
          <w:rFonts w:ascii="Times New Roman" w:hAnsi="Times New Roman"/>
        </w:rPr>
        <w:t>e</w:t>
      </w:r>
      <w:r>
        <w:rPr>
          <w:rStyle w:val="AucunA"/>
          <w:rFonts w:ascii="Times New Roman" w:hAnsi="Times New Roman"/>
        </w:rPr>
        <w:t>ndt)</w:t>
      </w:r>
    </w:p>
    <w:p w:rsidR="003A53F7" w:rsidRDefault="003A53F7">
      <w:pPr>
        <w:pStyle w:val="CorpsA"/>
        <w:suppressAutoHyphens/>
        <w:spacing w:line="360" w:lineRule="auto"/>
        <w:jc w:val="both"/>
        <w:rPr>
          <w:rFonts w:ascii="Times New Roman" w:eastAsia="Times New Roman" w:hAnsi="Times New Roman" w:cs="Times New Roman"/>
          <w:i/>
          <w:iCs/>
        </w:rPr>
      </w:pPr>
    </w:p>
    <w:p w:rsidR="003A53F7" w:rsidRDefault="00670B5E">
      <w:pPr>
        <w:pStyle w:val="CorpsA"/>
        <w:suppressAutoHyphens/>
        <w:spacing w:line="360" w:lineRule="auto"/>
        <w:jc w:val="both"/>
        <w:rPr>
          <w:rStyle w:val="AucunA"/>
          <w:i/>
          <w:iCs/>
        </w:rPr>
      </w:pPr>
      <w:r>
        <w:rPr>
          <w:rStyle w:val="AucunA"/>
          <w:rFonts w:ascii="Times New Roman" w:eastAsia="Times New Roman" w:hAnsi="Times New Roman" w:cs="Times New Roman"/>
          <w:i/>
          <w:iCs/>
          <w:noProof/>
          <w:lang w:val="en-US" w:eastAsia="en-US"/>
        </w:rPr>
        <w:lastRenderedPageBreak/>
        <w:drawing>
          <wp:inline distT="0" distB="0" distL="0" distR="0">
            <wp:extent cx="4373218" cy="5830958"/>
            <wp:effectExtent l="0" t="0" r="0" b="0"/>
            <wp:docPr id="1073741833" name="officeArt object" descr="H:\ENAN_Y_16_5.JPG"/>
            <wp:cNvGraphicFramePr/>
            <a:graphic xmlns:a="http://schemas.openxmlformats.org/drawingml/2006/main">
              <a:graphicData uri="http://schemas.openxmlformats.org/drawingml/2006/picture">
                <pic:pic xmlns:pic="http://schemas.openxmlformats.org/drawingml/2006/picture">
                  <pic:nvPicPr>
                    <pic:cNvPr id="1073741833" name="image9.jpg" descr="H:\ENAN_Y_16_5.JPG"/>
                    <pic:cNvPicPr>
                      <a:picLocks noChangeAspect="1"/>
                    </pic:cNvPicPr>
                  </pic:nvPicPr>
                  <pic:blipFill>
                    <a:blip r:embed="rId36">
                      <a:extLst/>
                    </a:blip>
                    <a:stretch>
                      <a:fillRect/>
                    </a:stretch>
                  </pic:blipFill>
                  <pic:spPr>
                    <a:xfrm>
                      <a:off x="0" y="0"/>
                      <a:ext cx="4373218" cy="5830958"/>
                    </a:xfrm>
                    <a:prstGeom prst="rect">
                      <a:avLst/>
                    </a:prstGeom>
                    <a:ln w="12700" cap="flat">
                      <a:noFill/>
                      <a:miter lim="400000"/>
                    </a:ln>
                    <a:effectLst/>
                  </pic:spPr>
                </pic:pic>
              </a:graphicData>
            </a:graphic>
          </wp:inline>
        </w:drawing>
      </w:r>
    </w:p>
    <w:p w:rsidR="003A53F7" w:rsidRDefault="00670B5E">
      <w:pPr>
        <w:pStyle w:val="CorpsA"/>
        <w:suppressAutoHyphens/>
        <w:spacing w:line="360" w:lineRule="auto"/>
        <w:jc w:val="both"/>
        <w:rPr>
          <w:rStyle w:val="AucunA"/>
          <w:rFonts w:ascii="Times New Roman" w:eastAsia="Times New Roman" w:hAnsi="Times New Roman" w:cs="Times New Roman"/>
        </w:rPr>
      </w:pPr>
      <w:r>
        <w:rPr>
          <w:rStyle w:val="AucunA"/>
          <w:rFonts w:ascii="Times New Roman" w:hAnsi="Times New Roman"/>
          <w:b/>
          <w:bCs/>
        </w:rPr>
        <w:t>Photo 6.</w:t>
      </w:r>
      <w:r>
        <w:rPr>
          <w:rStyle w:val="AucunA"/>
          <w:rFonts w:ascii="Times New Roman" w:hAnsi="Times New Roman"/>
        </w:rPr>
        <w:t xml:space="preserve"> Base d’une tige d’</w:t>
      </w:r>
      <w:r>
        <w:rPr>
          <w:rStyle w:val="AucunA"/>
          <w:rFonts w:ascii="Times New Roman" w:hAnsi="Times New Roman"/>
          <w:i/>
          <w:iCs/>
        </w:rPr>
        <w:t xml:space="preserve">Entandrophragma angolese </w:t>
      </w:r>
      <w:r>
        <w:rPr>
          <w:rStyle w:val="AucunA"/>
          <w:rFonts w:ascii="Times New Roman" w:hAnsi="Times New Roman"/>
        </w:rPr>
        <w:t>dans la Réserve de Biosphère de Yangambi. (Photo : Maarten Devri</w:t>
      </w:r>
      <w:r w:rsidR="00160ACA">
        <w:rPr>
          <w:rStyle w:val="AucunA"/>
          <w:rFonts w:ascii="Times New Roman" w:hAnsi="Times New Roman"/>
        </w:rPr>
        <w:t>e</w:t>
      </w:r>
      <w:r>
        <w:rPr>
          <w:rStyle w:val="AucunA"/>
          <w:rFonts w:ascii="Times New Roman" w:hAnsi="Times New Roman"/>
        </w:rPr>
        <w:t>ndt)</w:t>
      </w:r>
    </w:p>
    <w:p w:rsidR="003A53F7" w:rsidRDefault="003A53F7">
      <w:pPr>
        <w:pStyle w:val="CorpsA"/>
        <w:suppressAutoHyphens/>
        <w:spacing w:line="360" w:lineRule="auto"/>
        <w:jc w:val="both"/>
        <w:rPr>
          <w:rFonts w:ascii="Times New Roman" w:eastAsia="Times New Roman" w:hAnsi="Times New Roman" w:cs="Times New Roman"/>
        </w:rPr>
      </w:pPr>
    </w:p>
    <w:p w:rsidR="003A53F7" w:rsidRDefault="003A53F7">
      <w:pPr>
        <w:pStyle w:val="CorpsA"/>
        <w:suppressAutoHyphens/>
        <w:spacing w:line="360" w:lineRule="auto"/>
        <w:jc w:val="both"/>
      </w:pPr>
    </w:p>
    <w:sectPr w:rsidR="003A53F7">
      <w:pgSz w:w="11900" w:h="16840"/>
      <w:pgMar w:top="1418" w:right="1418" w:bottom="1418" w:left="1418" w:header="709" w:footer="709"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 w:author="REFORCO" w:date="2018-11-15T15:12:00Z" w:initials="R">
    <w:p w:rsidR="00642180" w:rsidRPr="00642180" w:rsidRDefault="00642180">
      <w:pPr>
        <w:pStyle w:val="CommentText"/>
        <w:rPr>
          <w:lang w:val="fr-FR"/>
        </w:rPr>
      </w:pPr>
      <w:r>
        <w:rPr>
          <w:rStyle w:val="CommentReference"/>
        </w:rPr>
        <w:annotationRef/>
      </w:r>
      <w:r w:rsidRPr="00642180">
        <w:rPr>
          <w:lang w:val="fr-FR"/>
        </w:rPr>
        <w:t>Signification?</w:t>
      </w:r>
    </w:p>
  </w:comment>
  <w:comment w:id="4" w:author="REFORCO" w:date="2018-11-16T23:06:00Z" w:initials="R">
    <w:p w:rsidR="00642180" w:rsidRPr="00642180" w:rsidRDefault="00642180">
      <w:pPr>
        <w:pStyle w:val="CommentText"/>
        <w:rPr>
          <w:lang w:val="fr-FR"/>
        </w:rPr>
      </w:pPr>
      <w:r>
        <w:rPr>
          <w:rStyle w:val="CommentReference"/>
        </w:rPr>
        <w:annotationRef/>
      </w:r>
      <w:r w:rsidR="00160ACA">
        <w:rPr>
          <w:lang w:val="fr-FR"/>
        </w:rPr>
        <w:t>Signification?</w:t>
      </w:r>
    </w:p>
  </w:comment>
  <w:comment w:id="5" w:author="REFORCO" w:date="2018-11-15T15:19:00Z" w:initials="R">
    <w:p w:rsidR="00642180" w:rsidRPr="00642180" w:rsidRDefault="00642180">
      <w:pPr>
        <w:pStyle w:val="CommentText"/>
        <w:rPr>
          <w:lang w:val="fr-FR"/>
        </w:rPr>
      </w:pPr>
      <w:r>
        <w:rPr>
          <w:rStyle w:val="CommentReference"/>
        </w:rPr>
        <w:annotationRef/>
      </w:r>
      <w:r w:rsidRPr="00642180">
        <w:rPr>
          <w:lang w:val="fr-FR"/>
        </w:rPr>
        <w:t>A clarifier?</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1977" w:rsidRDefault="005C1977">
      <w:r>
        <w:separator/>
      </w:r>
    </w:p>
  </w:endnote>
  <w:endnote w:type="continuationSeparator" w:id="0">
    <w:p w:rsidR="005C1977" w:rsidRDefault="005C1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00"/>
    <w:family w:val="swiss"/>
    <w:pitch w:val="variable"/>
    <w:sig w:usb0="00000687" w:usb1="000000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180" w:rsidRDefault="00642180">
    <w:pPr>
      <w:pStyle w:val="Footer"/>
      <w:tabs>
        <w:tab w:val="clear" w:pos="9072"/>
        <w:tab w:val="right" w:pos="9044"/>
      </w:tabs>
      <w:jc w:val="right"/>
    </w:pPr>
    <w:r>
      <w:fldChar w:fldCharType="begin"/>
    </w:r>
    <w:r>
      <w:instrText xml:space="preserve"> PAGE </w:instrText>
    </w:r>
    <w:r>
      <w:fldChar w:fldCharType="separate"/>
    </w:r>
    <w:r w:rsidR="00BE16E0">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1977" w:rsidRDefault="005C1977">
      <w:r>
        <w:separator/>
      </w:r>
    </w:p>
  </w:footnote>
  <w:footnote w:type="continuationSeparator" w:id="0">
    <w:p w:rsidR="005C1977" w:rsidRDefault="005C1977">
      <w:r>
        <w:continuationSeparator/>
      </w:r>
    </w:p>
  </w:footnote>
  <w:footnote w:type="continuationNotice" w:id="1">
    <w:p w:rsidR="005C1977" w:rsidRDefault="005C1977"/>
  </w:footnote>
  <w:footnote w:id="2">
    <w:p w:rsidR="00642180" w:rsidRPr="00670B5E" w:rsidRDefault="00642180">
      <w:pPr>
        <w:pStyle w:val="FootnoteText"/>
        <w:rPr>
          <w:lang w:val="fr-FR"/>
          <w:rPrChange w:id="1" w:author="REFORCO" w:date="2018-11-10T00:08:00Z">
            <w:rPr/>
          </w:rPrChange>
        </w:rPr>
      </w:pPr>
      <w:r>
        <w:rPr>
          <w:rStyle w:val="FootnoteReference"/>
        </w:rPr>
        <w:footnoteRef/>
      </w:r>
      <w:r>
        <w:rPr>
          <w:rStyle w:val="AucunA"/>
          <w:sz w:val="18"/>
          <w:szCs w:val="18"/>
          <w:u w:color="99403D"/>
          <w:shd w:val="clear" w:color="auto" w:fill="FFFFFF"/>
        </w:rPr>
        <w:t>Source : Revue « Bois et Forêts des Tropiques », rubrique « Commerce des bois tropicaux ».</w:t>
      </w:r>
    </w:p>
  </w:footnote>
  <w:footnote w:id="3">
    <w:p w:rsidR="00642180" w:rsidRPr="00670B5E" w:rsidRDefault="00642180">
      <w:pPr>
        <w:pStyle w:val="FootnoteText"/>
        <w:rPr>
          <w:lang w:val="fr-FR"/>
          <w:rPrChange w:id="2" w:author="REFORCO" w:date="2018-11-10T00:08:00Z">
            <w:rPr/>
          </w:rPrChange>
        </w:rPr>
      </w:pPr>
      <w:r>
        <w:rPr>
          <w:rStyle w:val="AucunA"/>
          <w:vertAlign w:val="superscript"/>
        </w:rPr>
        <w:footnoteRef/>
      </w:r>
      <w:r>
        <w:rPr>
          <w:rStyle w:val="AucunAA"/>
        </w:rPr>
        <w:t xml:space="preserve"> </w:t>
      </w:r>
      <w:r>
        <w:rPr>
          <w:rStyle w:val="AucunA"/>
          <w:sz w:val="20"/>
          <w:szCs w:val="20"/>
        </w:rPr>
        <w:t>Les chiffres repris ici correspondent aux numéros des traits anatomiques, normalisés par l’Association intern</w:t>
      </w:r>
      <w:r>
        <w:rPr>
          <w:rStyle w:val="AucunA"/>
          <w:sz w:val="20"/>
          <w:szCs w:val="20"/>
        </w:rPr>
        <w:t>a</w:t>
      </w:r>
      <w:r>
        <w:rPr>
          <w:rStyle w:val="AucunA"/>
          <w:sz w:val="20"/>
          <w:szCs w:val="20"/>
        </w:rPr>
        <w:t xml:space="preserve">tionale des anatomistes du bois (IAWA ; Wheeler </w:t>
      </w:r>
      <w:r>
        <w:rPr>
          <w:rStyle w:val="AucunA"/>
          <w:i/>
          <w:iCs/>
          <w:sz w:val="20"/>
          <w:szCs w:val="20"/>
        </w:rPr>
        <w:t>et al.</w:t>
      </w:r>
      <w:r>
        <w:rPr>
          <w:rStyle w:val="AucunA"/>
          <w:sz w:val="20"/>
          <w:szCs w:val="20"/>
        </w:rPr>
        <w:t xml:space="preserve"> 1989) et repris au tableau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2180" w:rsidRDefault="0064218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501A6"/>
    <w:multiLevelType w:val="multilevel"/>
    <w:tmpl w:val="15688DB8"/>
    <w:styleLink w:val="Style3import"/>
    <w:lvl w:ilvl="0">
      <w:start w:val="1"/>
      <w:numFmt w:val="decimal"/>
      <w:lvlText w:val="%1."/>
      <w:lvlJc w:val="left"/>
      <w:pPr>
        <w:ind w:left="720" w:hanging="360"/>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1">
      <w:start w:val="1"/>
      <w:numFmt w:val="decimal"/>
      <w:lvlText w:val="%1.%2."/>
      <w:lvlJc w:val="left"/>
      <w:pPr>
        <w:ind w:left="1080" w:hanging="720"/>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2">
      <w:start w:val="1"/>
      <w:numFmt w:val="decimal"/>
      <w:lvlText w:val="%1.%2.%3."/>
      <w:lvlJc w:val="left"/>
      <w:pPr>
        <w:ind w:left="1080" w:hanging="720"/>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3">
      <w:start w:val="1"/>
      <w:numFmt w:val="decimal"/>
      <w:lvlText w:val="%1.%2.%3.%4."/>
      <w:lvlJc w:val="left"/>
      <w:pPr>
        <w:ind w:left="1538" w:hanging="1178"/>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4">
      <w:start w:val="1"/>
      <w:numFmt w:val="decimal"/>
      <w:lvlText w:val="%1.%2.%3.%4.%5."/>
      <w:lvlJc w:val="left"/>
      <w:pPr>
        <w:ind w:left="1538" w:hanging="1178"/>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5">
      <w:start w:val="1"/>
      <w:numFmt w:val="decimal"/>
      <w:lvlText w:val="%1.%2.%3.%4.%5.%6."/>
      <w:lvlJc w:val="left"/>
      <w:pPr>
        <w:ind w:left="1931" w:hanging="1571"/>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6">
      <w:start w:val="1"/>
      <w:numFmt w:val="decimal"/>
      <w:lvlText w:val="%1.%2.%3.%4.%5.%6.%7."/>
      <w:lvlJc w:val="left"/>
      <w:pPr>
        <w:ind w:left="2324" w:hanging="1964"/>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7">
      <w:start w:val="1"/>
      <w:numFmt w:val="decimal"/>
      <w:lvlText w:val="%1.%2.%3.%4.%5.%6.%7.%8."/>
      <w:lvlJc w:val="left"/>
      <w:pPr>
        <w:ind w:left="2324" w:hanging="1964"/>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lvl w:ilvl="8">
      <w:start w:val="1"/>
      <w:numFmt w:val="decimal"/>
      <w:lvlText w:val="%1.%2.%3.%4.%5.%6.%7.%8.%9."/>
      <w:lvlJc w:val="left"/>
      <w:pPr>
        <w:ind w:left="2716" w:hanging="2356"/>
      </w:pPr>
      <w:rPr>
        <w:rFonts w:ascii="Times New Roman" w:eastAsia="Times New Roman" w:hAnsi="Times New Roman" w:cs="Times New Roman"/>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
    <w:nsid w:val="1FDC77CC"/>
    <w:multiLevelType w:val="hybridMultilevel"/>
    <w:tmpl w:val="B420DFD2"/>
    <w:numStyleLink w:val="Style1import"/>
  </w:abstractNum>
  <w:abstractNum w:abstractNumId="2">
    <w:nsid w:val="371C76AB"/>
    <w:multiLevelType w:val="multilevel"/>
    <w:tmpl w:val="15688DB8"/>
    <w:numStyleLink w:val="Style3import"/>
  </w:abstractNum>
  <w:abstractNum w:abstractNumId="3">
    <w:nsid w:val="489250EA"/>
    <w:multiLevelType w:val="hybridMultilevel"/>
    <w:tmpl w:val="B420DFD2"/>
    <w:styleLink w:val="Style1import"/>
    <w:lvl w:ilvl="0" w:tplc="375ADD5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E1EE40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D9EF5FC">
      <w:start w:val="1"/>
      <w:numFmt w:val="lowerRoman"/>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tplc="8996C42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B8ACD9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A867294">
      <w:start w:val="1"/>
      <w:numFmt w:val="lowerRoman"/>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tplc="F216B54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150794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364B9D8">
      <w:start w:val="1"/>
      <w:numFmt w:val="lowerRoman"/>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57633590"/>
    <w:multiLevelType w:val="hybridMultilevel"/>
    <w:tmpl w:val="4614D4F8"/>
    <w:styleLink w:val="Style2import"/>
    <w:lvl w:ilvl="0" w:tplc="ED1CC946">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1C4633A6">
      <w:start w:val="1"/>
      <w:numFmt w:val="bullet"/>
      <w:lvlText w:val="o"/>
      <w:lvlJc w:val="left"/>
      <w:pPr>
        <w:ind w:left="147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E562A2DC">
      <w:start w:val="1"/>
      <w:numFmt w:val="bullet"/>
      <w:lvlText w:val="▪"/>
      <w:lvlJc w:val="left"/>
      <w:pPr>
        <w:ind w:left="219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3EC6BA2">
      <w:start w:val="1"/>
      <w:numFmt w:val="bullet"/>
      <w:lvlText w:val="•"/>
      <w:lvlJc w:val="left"/>
      <w:pPr>
        <w:ind w:left="291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AFFCFB4A">
      <w:start w:val="1"/>
      <w:numFmt w:val="bullet"/>
      <w:lvlText w:val="o"/>
      <w:lvlJc w:val="left"/>
      <w:pPr>
        <w:ind w:left="363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44A4FCA">
      <w:start w:val="1"/>
      <w:numFmt w:val="bullet"/>
      <w:lvlText w:val="▪"/>
      <w:lvlJc w:val="left"/>
      <w:pPr>
        <w:ind w:left="435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1E25298">
      <w:start w:val="1"/>
      <w:numFmt w:val="bullet"/>
      <w:lvlText w:val="•"/>
      <w:lvlJc w:val="left"/>
      <w:pPr>
        <w:ind w:left="507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E16A1B4C">
      <w:start w:val="1"/>
      <w:numFmt w:val="bullet"/>
      <w:lvlText w:val="o"/>
      <w:lvlJc w:val="left"/>
      <w:pPr>
        <w:ind w:left="579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32E8FD8">
      <w:start w:val="1"/>
      <w:numFmt w:val="bullet"/>
      <w:lvlText w:val="▪"/>
      <w:lvlJc w:val="left"/>
      <w:pPr>
        <w:ind w:left="6513"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
    <w:nsid w:val="57F921D7"/>
    <w:multiLevelType w:val="hybridMultilevel"/>
    <w:tmpl w:val="FFB219AA"/>
    <w:styleLink w:val="Style3import0"/>
    <w:lvl w:ilvl="0" w:tplc="E9FCE856">
      <w:start w:val="1"/>
      <w:numFmt w:val="bullet"/>
      <w:lvlText w:val="-"/>
      <w:lvlJc w:val="left"/>
      <w:pPr>
        <w:ind w:left="72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1" w:tplc="D65C31FE">
      <w:start w:val="1"/>
      <w:numFmt w:val="bullet"/>
      <w:lvlText w:val="o"/>
      <w:lvlJc w:val="left"/>
      <w:pPr>
        <w:ind w:left="147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2" w:tplc="62CA70A8">
      <w:start w:val="1"/>
      <w:numFmt w:val="bullet"/>
      <w:lvlText w:val="▪"/>
      <w:lvlJc w:val="left"/>
      <w:pPr>
        <w:ind w:left="219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3" w:tplc="52002342">
      <w:start w:val="1"/>
      <w:numFmt w:val="bullet"/>
      <w:lvlText w:val="•"/>
      <w:lvlJc w:val="left"/>
      <w:pPr>
        <w:ind w:left="291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4" w:tplc="F67C82B4">
      <w:start w:val="1"/>
      <w:numFmt w:val="bullet"/>
      <w:lvlText w:val="o"/>
      <w:lvlJc w:val="left"/>
      <w:pPr>
        <w:ind w:left="363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5" w:tplc="B8B6971C">
      <w:start w:val="1"/>
      <w:numFmt w:val="bullet"/>
      <w:lvlText w:val="▪"/>
      <w:lvlJc w:val="left"/>
      <w:pPr>
        <w:ind w:left="435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6" w:tplc="B7889122">
      <w:start w:val="1"/>
      <w:numFmt w:val="bullet"/>
      <w:lvlText w:val="•"/>
      <w:lvlJc w:val="left"/>
      <w:pPr>
        <w:ind w:left="507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7" w:tplc="467C555E">
      <w:start w:val="1"/>
      <w:numFmt w:val="bullet"/>
      <w:lvlText w:val="o"/>
      <w:lvlJc w:val="left"/>
      <w:pPr>
        <w:ind w:left="579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8" w:tplc="7B6C48D4">
      <w:start w:val="1"/>
      <w:numFmt w:val="bullet"/>
      <w:lvlText w:val="▪"/>
      <w:lvlJc w:val="left"/>
      <w:pPr>
        <w:ind w:left="6513" w:hanging="393"/>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nsid w:val="6C9318F6"/>
    <w:multiLevelType w:val="hybridMultilevel"/>
    <w:tmpl w:val="4614D4F8"/>
    <w:numStyleLink w:val="Style2import"/>
  </w:abstractNum>
  <w:abstractNum w:abstractNumId="7">
    <w:nsid w:val="7B6938B7"/>
    <w:multiLevelType w:val="hybridMultilevel"/>
    <w:tmpl w:val="FFB219AA"/>
    <w:numStyleLink w:val="Style3import0"/>
  </w:abstractNum>
  <w:num w:numId="1">
    <w:abstractNumId w:val="0"/>
  </w:num>
  <w:num w:numId="2">
    <w:abstractNumId w:val="2"/>
  </w:num>
  <w:num w:numId="3">
    <w:abstractNumId w:val="4"/>
  </w:num>
  <w:num w:numId="4">
    <w:abstractNumId w:val="6"/>
  </w:num>
  <w:num w:numId="5">
    <w:abstractNumId w:val="2"/>
    <w:lvlOverride w:ilvl="0">
      <w:startOverride w:val="2"/>
    </w:lvlOverride>
  </w:num>
  <w:num w:numId="6">
    <w:abstractNumId w:val="6"/>
    <w:lvlOverride w:ilvl="0">
      <w:lvl w:ilvl="0" w:tplc="E04EAA4C">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ACC6AA24">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A7D88584">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BE72CFC8">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0DC8B1E">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A2C743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C50269CC">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3A7E4852">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EB92C3BE">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7">
    <w:abstractNumId w:val="6"/>
    <w:lvlOverride w:ilvl="0">
      <w:lvl w:ilvl="0" w:tplc="E04EAA4C">
        <w:start w:val="1"/>
        <w:numFmt w:val="bullet"/>
        <w:lvlText w:val="-"/>
        <w:lvlJc w:val="left"/>
        <w:pPr>
          <w:ind w:left="708" w:hanging="70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ACC6AA24">
        <w:start w:val="1"/>
        <w:numFmt w:val="bullet"/>
        <w:lvlText w:val="o"/>
        <w:lvlJc w:val="left"/>
        <w:pPr>
          <w:ind w:left="1080" w:hanging="33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A7D88584">
        <w:start w:val="1"/>
        <w:numFmt w:val="bullet"/>
        <w:lvlText w:val="▪"/>
        <w:lvlJc w:val="left"/>
        <w:pPr>
          <w:ind w:left="1800" w:hanging="324"/>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BE72CFC8">
        <w:start w:val="1"/>
        <w:numFmt w:val="bullet"/>
        <w:lvlText w:val="•"/>
        <w:lvlJc w:val="left"/>
        <w:pPr>
          <w:ind w:left="2520" w:hanging="312"/>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0DC8B1E">
        <w:start w:val="1"/>
        <w:numFmt w:val="bullet"/>
        <w:lvlText w:val="o"/>
        <w:lvlJc w:val="left"/>
        <w:pPr>
          <w:ind w:left="3240" w:hanging="30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A2C7430">
        <w:start w:val="1"/>
        <w:numFmt w:val="bullet"/>
        <w:lvlText w:val="▪"/>
        <w:lvlJc w:val="left"/>
        <w:pPr>
          <w:ind w:left="3960" w:hanging="28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C50269CC">
        <w:start w:val="1"/>
        <w:numFmt w:val="bullet"/>
        <w:lvlText w:val="•"/>
        <w:lvlJc w:val="left"/>
        <w:pPr>
          <w:ind w:left="4680" w:hanging="27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3A7E4852">
        <w:start w:val="1"/>
        <w:numFmt w:val="bullet"/>
        <w:lvlText w:val="o"/>
        <w:lvlJc w:val="left"/>
        <w:pPr>
          <w:ind w:left="5400" w:hanging="264"/>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EB92C3BE">
        <w:start w:val="1"/>
        <w:numFmt w:val="bullet"/>
        <w:lvlText w:val="▪"/>
        <w:lvlJc w:val="left"/>
        <w:pPr>
          <w:ind w:left="6120" w:hanging="252"/>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8">
    <w:abstractNumId w:val="2"/>
    <w:lvlOverride w:ilvl="1">
      <w:startOverride w:val="2"/>
    </w:lvlOverride>
  </w:num>
  <w:num w:numId="9">
    <w:abstractNumId w:val="2"/>
    <w:lvlOverride w:ilvl="0">
      <w:startOverride w:val="5"/>
    </w:lvlOverride>
  </w:num>
  <w:num w:numId="10">
    <w:abstractNumId w:val="5"/>
  </w:num>
  <w:num w:numId="11">
    <w:abstractNumId w:val="7"/>
  </w:num>
  <w:num w:numId="12">
    <w:abstractNumId w:val="3"/>
  </w:num>
  <w:num w:numId="13">
    <w:abstractNumId w:val="1"/>
  </w:num>
  <w:num w:numId="14">
    <w:abstractNumId w:val="1"/>
    <w:lvlOverride w:ilvl="0">
      <w:lvl w:ilvl="0" w:tplc="9304642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48C407C">
        <w:start w:val="1"/>
        <w:numFmt w:val="lowerLetter"/>
        <w:lvlText w:val="%2."/>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FBEAD96">
        <w:start w:val="1"/>
        <w:numFmt w:val="lowerRoman"/>
        <w:lvlText w:val="%3."/>
        <w:lvlJc w:val="left"/>
        <w:pPr>
          <w:ind w:left="2185" w:hanging="3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A62A072">
        <w:start w:val="1"/>
        <w:numFmt w:val="decimal"/>
        <w:lvlText w:val="%4."/>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36CBC12">
        <w:start w:val="1"/>
        <w:numFmt w:val="lowerLetter"/>
        <w:lvlText w:val="%5."/>
        <w:lvlJc w:val="left"/>
        <w:pPr>
          <w:ind w:left="36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A858B154">
        <w:start w:val="1"/>
        <w:numFmt w:val="lowerRoman"/>
        <w:lvlText w:val="%6."/>
        <w:lvlJc w:val="left"/>
        <w:pPr>
          <w:ind w:left="4345" w:hanging="3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510FF6E">
        <w:start w:val="1"/>
        <w:numFmt w:val="decimal"/>
        <w:lvlText w:val="%7."/>
        <w:lvlJc w:val="left"/>
        <w:pPr>
          <w:ind w:left="50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7EE1CDE">
        <w:start w:val="1"/>
        <w:numFmt w:val="lowerLetter"/>
        <w:lvlText w:val="%8."/>
        <w:lvlJc w:val="left"/>
        <w:pPr>
          <w:ind w:left="579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E3FA87D8">
        <w:start w:val="1"/>
        <w:numFmt w:val="lowerRoman"/>
        <w:lvlText w:val="%9."/>
        <w:lvlJc w:val="left"/>
        <w:pPr>
          <w:ind w:left="6505" w:hanging="30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1"/>
    <w:lvlOverride w:ilvl="0">
      <w:lvl w:ilvl="0" w:tplc="9304642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48C407C">
        <w:start w:val="1"/>
        <w:numFmt w:val="lowerLetter"/>
        <w:lvlText w:val="%2."/>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FBEAD96">
        <w:start w:val="1"/>
        <w:numFmt w:val="lowerRoman"/>
        <w:lvlText w:val="%3."/>
        <w:lvlJc w:val="left"/>
        <w:pPr>
          <w:ind w:left="2185" w:hanging="30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A62A072">
        <w:start w:val="1"/>
        <w:numFmt w:val="decimal"/>
        <w:lvlText w:val="%4."/>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36CBC12">
        <w:start w:val="1"/>
        <w:numFmt w:val="lowerLetter"/>
        <w:lvlText w:val="%5."/>
        <w:lvlJc w:val="left"/>
        <w:pPr>
          <w:ind w:left="36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A858B154">
        <w:start w:val="1"/>
        <w:numFmt w:val="lowerRoman"/>
        <w:lvlText w:val="%6."/>
        <w:lvlJc w:val="left"/>
        <w:pPr>
          <w:ind w:left="4345" w:hanging="30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510FF6E">
        <w:start w:val="1"/>
        <w:numFmt w:val="decimal"/>
        <w:lvlText w:val="%7."/>
        <w:lvlJc w:val="left"/>
        <w:pPr>
          <w:ind w:left="50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7EE1CDE">
        <w:start w:val="1"/>
        <w:numFmt w:val="lowerLetter"/>
        <w:lvlText w:val="%8."/>
        <w:lvlJc w:val="left"/>
        <w:pPr>
          <w:ind w:left="579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E3FA87D8">
        <w:start w:val="1"/>
        <w:numFmt w:val="lowerRoman"/>
        <w:lvlText w:val="%9."/>
        <w:lvlJc w:val="left"/>
        <w:pPr>
          <w:ind w:left="6505" w:hanging="30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abstractNumId w:val="1"/>
    <w:lvlOverride w:ilvl="0">
      <w:lvl w:ilvl="0" w:tplc="9304642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48C407C">
        <w:start w:val="1"/>
        <w:numFmt w:val="lowerLetter"/>
        <w:lvlText w:val="%2."/>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FBEAD96">
        <w:start w:val="1"/>
        <w:numFmt w:val="lowerRoman"/>
        <w:lvlText w:val="%3."/>
        <w:lvlJc w:val="left"/>
        <w:pPr>
          <w:ind w:left="2176" w:hanging="3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CA62A072">
        <w:start w:val="1"/>
        <w:numFmt w:val="decimal"/>
        <w:lvlText w:val="%4."/>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36CBC12">
        <w:start w:val="1"/>
        <w:numFmt w:val="lowerLetter"/>
        <w:lvlText w:val="%5."/>
        <w:lvlJc w:val="left"/>
        <w:pPr>
          <w:ind w:left="363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A858B154">
        <w:start w:val="1"/>
        <w:numFmt w:val="lowerRoman"/>
        <w:lvlText w:val="%6."/>
        <w:lvlJc w:val="left"/>
        <w:pPr>
          <w:ind w:left="4336" w:hanging="30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510FF6E">
        <w:start w:val="1"/>
        <w:numFmt w:val="decimal"/>
        <w:lvlText w:val="%7."/>
        <w:lvlJc w:val="left"/>
        <w:pPr>
          <w:ind w:left="507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7EE1CDE">
        <w:start w:val="1"/>
        <w:numFmt w:val="lowerLetter"/>
        <w:lvlText w:val="%8."/>
        <w:lvlJc w:val="left"/>
        <w:pPr>
          <w:ind w:left="5793" w:hanging="39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E3FA87D8">
        <w:start w:val="1"/>
        <w:numFmt w:val="lowerRoman"/>
        <w:lvlText w:val="%9."/>
        <w:lvlJc w:val="left"/>
        <w:pPr>
          <w:ind w:left="6496" w:hanging="301"/>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autoHyphenation/>
  <w:hyphenationZone w:val="425"/>
  <w:characterSpacingControl w:val="doNotCompress"/>
  <w:footnotePr>
    <w:footnote w:id="-1"/>
    <w:footnote w:id="0"/>
    <w:footnote w:id="1"/>
  </w:footnotePr>
  <w:endnotePr>
    <w:endnote w:id="-1"/>
    <w:endnote w:id="0"/>
  </w:endnotePr>
  <w:compat>
    <w:useFELayout/>
    <w:compatSetting w:name="compatibilityMode" w:uri="http://schemas.microsoft.com/office/word" w:val="14"/>
  </w:compat>
  <w:rsids>
    <w:rsidRoot w:val="003A53F7"/>
    <w:rsid w:val="000148A8"/>
    <w:rsid w:val="00067834"/>
    <w:rsid w:val="00085E38"/>
    <w:rsid w:val="000970B5"/>
    <w:rsid w:val="001224A2"/>
    <w:rsid w:val="00160ACA"/>
    <w:rsid w:val="00195787"/>
    <w:rsid w:val="001B4308"/>
    <w:rsid w:val="001F4665"/>
    <w:rsid w:val="00250DD9"/>
    <w:rsid w:val="0030431A"/>
    <w:rsid w:val="003457F0"/>
    <w:rsid w:val="003A53F7"/>
    <w:rsid w:val="003E4122"/>
    <w:rsid w:val="00415B5C"/>
    <w:rsid w:val="004319B0"/>
    <w:rsid w:val="004F27BB"/>
    <w:rsid w:val="0050033A"/>
    <w:rsid w:val="00506524"/>
    <w:rsid w:val="00525CAD"/>
    <w:rsid w:val="00564E92"/>
    <w:rsid w:val="00565275"/>
    <w:rsid w:val="005B7B68"/>
    <w:rsid w:val="005C1977"/>
    <w:rsid w:val="0060242D"/>
    <w:rsid w:val="00642180"/>
    <w:rsid w:val="00670B5E"/>
    <w:rsid w:val="006B0C09"/>
    <w:rsid w:val="00716092"/>
    <w:rsid w:val="0072792F"/>
    <w:rsid w:val="00752EB1"/>
    <w:rsid w:val="00772674"/>
    <w:rsid w:val="007848D6"/>
    <w:rsid w:val="007D3707"/>
    <w:rsid w:val="0082226B"/>
    <w:rsid w:val="008E3AE1"/>
    <w:rsid w:val="009215A4"/>
    <w:rsid w:val="009705C5"/>
    <w:rsid w:val="00A106E0"/>
    <w:rsid w:val="00A5211A"/>
    <w:rsid w:val="00A63C5A"/>
    <w:rsid w:val="00AE26F5"/>
    <w:rsid w:val="00AF6093"/>
    <w:rsid w:val="00B56A47"/>
    <w:rsid w:val="00B972BF"/>
    <w:rsid w:val="00BE16E0"/>
    <w:rsid w:val="00C41792"/>
    <w:rsid w:val="00CC4315"/>
    <w:rsid w:val="00CF6C4F"/>
    <w:rsid w:val="00D536C7"/>
    <w:rsid w:val="00D54707"/>
    <w:rsid w:val="00DB20D4"/>
    <w:rsid w:val="00DC0F78"/>
    <w:rsid w:val="00DF4D53"/>
    <w:rsid w:val="00E06998"/>
    <w:rsid w:val="00E601BA"/>
    <w:rsid w:val="00E8776E"/>
    <w:rsid w:val="00ED0751"/>
    <w:rsid w:val="00EF5518"/>
    <w:rsid w:val="00F004D5"/>
    <w:rsid w:val="00F4414F"/>
    <w:rsid w:val="00F72CF0"/>
    <w:rsid w:val="00F95D7C"/>
    <w:rsid w:val="00F973C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styleId="Header">
    <w:name w:val="header"/>
    <w:pPr>
      <w:tabs>
        <w:tab w:val="right" w:pos="9020"/>
      </w:tabs>
    </w:pPr>
    <w:rPr>
      <w:rFonts w:ascii="Helvetica" w:hAnsi="Helvetica" w:cs="Arial Unicode MS"/>
      <w:color w:val="000000"/>
      <w:sz w:val="24"/>
      <w:szCs w:val="24"/>
    </w:rPr>
  </w:style>
  <w:style w:type="paragraph" w:styleId="Footer">
    <w:name w:val="footer"/>
    <w:pPr>
      <w:tabs>
        <w:tab w:val="center" w:pos="4536"/>
        <w:tab w:val="right" w:pos="9072"/>
      </w:tabs>
    </w:pPr>
    <w:rPr>
      <w:rFonts w:ascii="Calibri" w:eastAsia="Calibri" w:hAnsi="Calibri" w:cs="Calibri"/>
      <w:color w:val="000000"/>
      <w:sz w:val="22"/>
      <w:szCs w:val="22"/>
      <w:u w:color="000000"/>
    </w:rPr>
  </w:style>
  <w:style w:type="paragraph" w:customStyle="1" w:styleId="CorpsA">
    <w:name w:val="Corps A"/>
    <w:pPr>
      <w:spacing w:after="200" w:line="276" w:lineRule="auto"/>
    </w:pPr>
    <w:rPr>
      <w:rFonts w:ascii="Calibri" w:eastAsia="Calibri" w:hAnsi="Calibri" w:cs="Calibri"/>
      <w:color w:val="000000"/>
      <w:sz w:val="22"/>
      <w:szCs w:val="22"/>
      <w:u w:color="000000"/>
    </w:rPr>
  </w:style>
  <w:style w:type="character" w:customStyle="1" w:styleId="AucunA">
    <w:name w:val="Aucun A"/>
    <w:rPr>
      <w:lang w:val="fr-FR"/>
    </w:rPr>
  </w:style>
  <w:style w:type="paragraph" w:customStyle="1" w:styleId="Pardfaut">
    <w:name w:val="Par défaut"/>
    <w:rPr>
      <w:rFonts w:ascii="Helvetica" w:eastAsia="Helvetica" w:hAnsi="Helvetica" w:cs="Helvetica"/>
      <w:color w:val="000000"/>
      <w:sz w:val="22"/>
      <w:szCs w:val="22"/>
    </w:rPr>
  </w:style>
  <w:style w:type="paragraph" w:customStyle="1" w:styleId="Corps">
    <w:name w:val="Corps"/>
    <w:rPr>
      <w:rFonts w:cs="Arial Unicode MS"/>
      <w:color w:val="000000"/>
      <w:sz w:val="24"/>
      <w:szCs w:val="24"/>
      <w:u w:color="000000"/>
    </w:rPr>
  </w:style>
  <w:style w:type="character" w:customStyle="1" w:styleId="AucunAA">
    <w:name w:val="Aucun A A"/>
    <w:basedOn w:val="AucunA"/>
    <w:rPr>
      <w:lang w:val="fr-FR"/>
    </w:rPr>
  </w:style>
  <w:style w:type="character" w:customStyle="1" w:styleId="Hyperlink0">
    <w:name w:val="Hyperlink.0"/>
    <w:basedOn w:val="AucunA"/>
    <w:rPr>
      <w:rFonts w:ascii="Times New Roman" w:eastAsia="Times New Roman" w:hAnsi="Times New Roman" w:cs="Times New Roman"/>
      <w:color w:val="0000FF"/>
      <w:u w:val="single" w:color="0000FF"/>
      <w:lang w:val="fr-FR"/>
    </w:rPr>
  </w:style>
  <w:style w:type="character" w:customStyle="1" w:styleId="Lien">
    <w:name w:val="Lien"/>
    <w:rPr>
      <w:color w:val="0000FF"/>
      <w:u w:val="single" w:color="0000FF"/>
    </w:rPr>
  </w:style>
  <w:style w:type="character" w:customStyle="1" w:styleId="Hyperlink1">
    <w:name w:val="Hyperlink.1"/>
    <w:basedOn w:val="Lien"/>
    <w:rPr>
      <w:rFonts w:ascii="Times New Roman" w:eastAsia="Times New Roman" w:hAnsi="Times New Roman" w:cs="Times New Roman"/>
      <w:color w:val="0000FF"/>
      <w:u w:val="single" w:color="0000FF"/>
    </w:rPr>
  </w:style>
  <w:style w:type="character" w:customStyle="1" w:styleId="Hyperlink2">
    <w:name w:val="Hyperlink.2"/>
    <w:basedOn w:val="AucunA"/>
    <w:rPr>
      <w:rFonts w:ascii="Times New Roman" w:eastAsia="Times New Roman" w:hAnsi="Times New Roman" w:cs="Times New Roman"/>
      <w:color w:val="0000FF"/>
      <w:u w:val="single" w:color="0000FF"/>
      <w:lang w:val="fr-FR"/>
    </w:rPr>
  </w:style>
  <w:style w:type="character" w:customStyle="1" w:styleId="Hyperlink3">
    <w:name w:val="Hyperlink.3"/>
    <w:basedOn w:val="AucunA"/>
    <w:rPr>
      <w:color w:val="0000FF"/>
      <w:sz w:val="22"/>
      <w:szCs w:val="22"/>
      <w:u w:val="single" w:color="0000FF"/>
      <w:lang w:val="fr-FR"/>
    </w:rPr>
  </w:style>
  <w:style w:type="character" w:customStyle="1" w:styleId="Hyperlink4">
    <w:name w:val="Hyperlink.4"/>
    <w:basedOn w:val="AucunA"/>
    <w:rPr>
      <w:rFonts w:ascii="Times New Roman" w:eastAsia="Times New Roman" w:hAnsi="Times New Roman" w:cs="Times New Roman"/>
      <w:color w:val="0000FF"/>
      <w:u w:val="single" w:color="0000FF"/>
      <w:lang w:val="fr-FR"/>
    </w:rPr>
  </w:style>
  <w:style w:type="character" w:customStyle="1" w:styleId="Hyperlink5">
    <w:name w:val="Hyperlink.5"/>
    <w:basedOn w:val="Lien"/>
    <w:rPr>
      <w:rFonts w:ascii="Times New Roman" w:eastAsia="Times New Roman" w:hAnsi="Times New Roman" w:cs="Times New Roman"/>
      <w:color w:val="0000FF"/>
      <w:u w:val="single" w:color="0000FF"/>
      <w:lang w:val="fr-FR"/>
    </w:rPr>
  </w:style>
  <w:style w:type="character" w:customStyle="1" w:styleId="Hyperlink6">
    <w:name w:val="Hyperlink.6"/>
    <w:basedOn w:val="Lien"/>
    <w:rPr>
      <w:rFonts w:ascii="Times New Roman" w:eastAsia="Times New Roman" w:hAnsi="Times New Roman" w:cs="Times New Roman"/>
      <w:color w:val="0000FF"/>
      <w:u w:val="single" w:color="0000FF"/>
      <w:lang w:val="da-DK"/>
    </w:rPr>
  </w:style>
  <w:style w:type="paragraph" w:customStyle="1" w:styleId="CorpsB">
    <w:name w:val="Corps B"/>
    <w:rPr>
      <w:rFonts w:eastAsia="Times New Roman"/>
      <w:color w:val="000000"/>
      <w:sz w:val="24"/>
      <w:szCs w:val="24"/>
      <w:u w:color="000000"/>
      <w:lang w:val="en-US"/>
    </w:rPr>
  </w:style>
  <w:style w:type="numbering" w:customStyle="1" w:styleId="Style3import">
    <w:name w:val="Style 3 importé"/>
    <w:pPr>
      <w:numPr>
        <w:numId w:val="1"/>
      </w:numPr>
    </w:pPr>
  </w:style>
  <w:style w:type="character" w:styleId="FootnoteReference">
    <w:name w:val="footnote reference"/>
    <w:basedOn w:val="AucunA"/>
    <w:rPr>
      <w:vertAlign w:val="superscript"/>
      <w:lang w:val="fr-FR"/>
    </w:rPr>
  </w:style>
  <w:style w:type="paragraph" w:styleId="FootnoteText">
    <w:name w:val="footnote text"/>
    <w:rPr>
      <w:rFonts w:eastAsia="Times New Roman"/>
      <w:color w:val="000000"/>
      <w:sz w:val="24"/>
      <w:szCs w:val="24"/>
      <w:u w:color="000000"/>
      <w:lang w:val="en-US"/>
    </w:rPr>
  </w:style>
  <w:style w:type="numbering" w:customStyle="1" w:styleId="Style2import">
    <w:name w:val="Style 2 importé"/>
    <w:pPr>
      <w:numPr>
        <w:numId w:val="3"/>
      </w:numPr>
    </w:pPr>
  </w:style>
  <w:style w:type="character" w:customStyle="1" w:styleId="Hyperlink7">
    <w:name w:val="Hyperlink.7"/>
    <w:basedOn w:val="AucunA"/>
    <w:rPr>
      <w:rFonts w:ascii="Times New Roman" w:eastAsia="Times New Roman" w:hAnsi="Times New Roman" w:cs="Times New Roman"/>
      <w:color w:val="0000FF"/>
      <w:sz w:val="24"/>
      <w:szCs w:val="24"/>
      <w:u w:val="single" w:color="0000FF"/>
      <w:lang w:val="fr-FR"/>
    </w:rPr>
  </w:style>
  <w:style w:type="paragraph" w:styleId="ListParagraph">
    <w:name w:val="List Paragraph"/>
    <w:pPr>
      <w:spacing w:after="200" w:line="276" w:lineRule="auto"/>
      <w:ind w:left="720"/>
    </w:pPr>
    <w:rPr>
      <w:rFonts w:ascii="Calibri" w:eastAsia="Calibri" w:hAnsi="Calibri" w:cs="Calibri"/>
      <w:color w:val="000000"/>
      <w:sz w:val="22"/>
      <w:szCs w:val="22"/>
      <w:u w:color="000000"/>
    </w:rPr>
  </w:style>
  <w:style w:type="numbering" w:customStyle="1" w:styleId="Style3import0">
    <w:name w:val="Style 3 importé.0"/>
    <w:pPr>
      <w:numPr>
        <w:numId w:val="10"/>
      </w:numPr>
    </w:pPr>
  </w:style>
  <w:style w:type="numbering" w:customStyle="1" w:styleId="Style1import">
    <w:name w:val="Style 1 importé"/>
    <w:pPr>
      <w:numPr>
        <w:numId w:val="12"/>
      </w:numPr>
    </w:pPr>
  </w:style>
  <w:style w:type="character" w:customStyle="1" w:styleId="Hyperlink8">
    <w:name w:val="Hyperlink.8"/>
    <w:basedOn w:val="AucunA"/>
    <w:rPr>
      <w:rFonts w:ascii="Times New Roman" w:eastAsia="Times New Roman" w:hAnsi="Times New Roman" w:cs="Times New Roman"/>
      <w:color w:val="0000FF"/>
      <w:sz w:val="24"/>
      <w:szCs w:val="24"/>
      <w:u w:val="single" w:color="0000FF"/>
      <w:lang w:val="fr-FR"/>
    </w:rPr>
  </w:style>
  <w:style w:type="paragraph" w:customStyle="1" w:styleId="CorpsAA">
    <w:name w:val="Corps A A"/>
    <w:pPr>
      <w:spacing w:after="200" w:line="276" w:lineRule="auto"/>
    </w:pPr>
    <w:rPr>
      <w:rFonts w:ascii="Calibri" w:eastAsia="Calibri" w:hAnsi="Calibri" w:cs="Calibri"/>
      <w:color w:val="000000"/>
      <w:sz w:val="22"/>
      <w:szCs w:val="22"/>
      <w:u w:color="000000"/>
    </w:rPr>
  </w:style>
  <w:style w:type="character" w:customStyle="1" w:styleId="Hyperlink9">
    <w:name w:val="Hyperlink.9"/>
    <w:basedOn w:val="AucunA"/>
    <w:rPr>
      <w:color w:val="000000"/>
      <w:u w:val="single" w:color="000000"/>
      <w:lang w:val="fr-FR"/>
    </w:rPr>
  </w:style>
  <w:style w:type="character" w:customStyle="1" w:styleId="Hyperlink10">
    <w:name w:val="Hyperlink.10"/>
    <w:basedOn w:val="AucunA"/>
    <w:rPr>
      <w:color w:val="0000FF"/>
      <w:u w:val="single" w:color="0000FF"/>
      <w:lang w:val="fr-FR"/>
    </w:rPr>
  </w:style>
  <w:style w:type="character" w:customStyle="1" w:styleId="Hyperlink11">
    <w:name w:val="Hyperlink.11"/>
    <w:basedOn w:val="AucunA"/>
    <w:rPr>
      <w:color w:val="0000FF"/>
      <w:u w:val="single" w:color="0000FF"/>
      <w:lang w:val="fr-FR"/>
    </w:rPr>
  </w:style>
  <w:style w:type="character" w:customStyle="1" w:styleId="Hyperlink12">
    <w:name w:val="Hyperlink.12"/>
    <w:basedOn w:val="AucunA"/>
    <w:rPr>
      <w:rFonts w:ascii="Times New Roman" w:eastAsia="Times New Roman" w:hAnsi="Times New Roman" w:cs="Times New Roman"/>
      <w:color w:val="0000FF"/>
      <w:sz w:val="24"/>
      <w:szCs w:val="24"/>
      <w:u w:val="single" w:color="0000FF"/>
      <w:lang w:val="de-DE"/>
    </w:rPr>
  </w:style>
  <w:style w:type="paragraph" w:customStyle="1" w:styleId="CorpsC">
    <w:name w:val="Corps C"/>
    <w:rPr>
      <w:rFonts w:eastAsia="Times New Roman"/>
      <w:color w:val="000000"/>
      <w:sz w:val="24"/>
      <w:szCs w:val="24"/>
      <w:u w:color="000000"/>
    </w:rPr>
  </w:style>
  <w:style w:type="paragraph" w:customStyle="1" w:styleId="CorpsCA">
    <w:name w:val="Corps C A"/>
    <w:rPr>
      <w:rFonts w:eastAsia="Times New Roman"/>
      <w:color w:val="000000"/>
      <w:sz w:val="24"/>
      <w:szCs w:val="24"/>
      <w:u w:color="00000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70B5E"/>
    <w:rPr>
      <w:rFonts w:ascii="Tahoma" w:hAnsi="Tahoma" w:cs="Tahoma"/>
      <w:sz w:val="16"/>
      <w:szCs w:val="16"/>
    </w:rPr>
  </w:style>
  <w:style w:type="character" w:customStyle="1" w:styleId="BalloonTextChar">
    <w:name w:val="Balloon Text Char"/>
    <w:basedOn w:val="DefaultParagraphFont"/>
    <w:link w:val="BalloonText"/>
    <w:uiPriority w:val="99"/>
    <w:semiHidden/>
    <w:rsid w:val="00670B5E"/>
    <w:rPr>
      <w:rFonts w:ascii="Tahoma" w:hAnsi="Tahoma" w:cs="Tahoma"/>
      <w:sz w:val="16"/>
      <w:szCs w:val="16"/>
      <w:lang w:val="en-US" w:eastAsia="en-US"/>
    </w:rPr>
  </w:style>
  <w:style w:type="character" w:styleId="LineNumber">
    <w:name w:val="line number"/>
    <w:basedOn w:val="DefaultParagraphFont"/>
    <w:uiPriority w:val="99"/>
    <w:semiHidden/>
    <w:unhideWhenUsed/>
    <w:rsid w:val="00525CAD"/>
  </w:style>
  <w:style w:type="paragraph" w:styleId="CommentSubject">
    <w:name w:val="annotation subject"/>
    <w:basedOn w:val="CommentText"/>
    <w:next w:val="CommentText"/>
    <w:link w:val="CommentSubjectChar"/>
    <w:uiPriority w:val="99"/>
    <w:semiHidden/>
    <w:unhideWhenUsed/>
    <w:rsid w:val="00752EB1"/>
    <w:rPr>
      <w:b/>
      <w:bCs/>
    </w:rPr>
  </w:style>
  <w:style w:type="character" w:customStyle="1" w:styleId="CommentSubjectChar">
    <w:name w:val="Comment Subject Char"/>
    <w:basedOn w:val="CommentTextChar"/>
    <w:link w:val="CommentSubject"/>
    <w:uiPriority w:val="99"/>
    <w:semiHidden/>
    <w:rsid w:val="00752EB1"/>
    <w:rPr>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fr-FR" w:eastAsia="fr-FR"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styleId="Header">
    <w:name w:val="header"/>
    <w:pPr>
      <w:tabs>
        <w:tab w:val="right" w:pos="9020"/>
      </w:tabs>
    </w:pPr>
    <w:rPr>
      <w:rFonts w:ascii="Helvetica" w:hAnsi="Helvetica" w:cs="Arial Unicode MS"/>
      <w:color w:val="000000"/>
      <w:sz w:val="24"/>
      <w:szCs w:val="24"/>
    </w:rPr>
  </w:style>
  <w:style w:type="paragraph" w:styleId="Footer">
    <w:name w:val="footer"/>
    <w:pPr>
      <w:tabs>
        <w:tab w:val="center" w:pos="4536"/>
        <w:tab w:val="right" w:pos="9072"/>
      </w:tabs>
    </w:pPr>
    <w:rPr>
      <w:rFonts w:ascii="Calibri" w:eastAsia="Calibri" w:hAnsi="Calibri" w:cs="Calibri"/>
      <w:color w:val="000000"/>
      <w:sz w:val="22"/>
      <w:szCs w:val="22"/>
      <w:u w:color="000000"/>
    </w:rPr>
  </w:style>
  <w:style w:type="paragraph" w:customStyle="1" w:styleId="CorpsA">
    <w:name w:val="Corps A"/>
    <w:pPr>
      <w:spacing w:after="200" w:line="276" w:lineRule="auto"/>
    </w:pPr>
    <w:rPr>
      <w:rFonts w:ascii="Calibri" w:eastAsia="Calibri" w:hAnsi="Calibri" w:cs="Calibri"/>
      <w:color w:val="000000"/>
      <w:sz w:val="22"/>
      <w:szCs w:val="22"/>
      <w:u w:color="000000"/>
    </w:rPr>
  </w:style>
  <w:style w:type="character" w:customStyle="1" w:styleId="AucunA">
    <w:name w:val="Aucun A"/>
    <w:rPr>
      <w:lang w:val="fr-FR"/>
    </w:rPr>
  </w:style>
  <w:style w:type="paragraph" w:customStyle="1" w:styleId="Pardfaut">
    <w:name w:val="Par défaut"/>
    <w:rPr>
      <w:rFonts w:ascii="Helvetica" w:eastAsia="Helvetica" w:hAnsi="Helvetica" w:cs="Helvetica"/>
      <w:color w:val="000000"/>
      <w:sz w:val="22"/>
      <w:szCs w:val="22"/>
    </w:rPr>
  </w:style>
  <w:style w:type="paragraph" w:customStyle="1" w:styleId="Corps">
    <w:name w:val="Corps"/>
    <w:rPr>
      <w:rFonts w:cs="Arial Unicode MS"/>
      <w:color w:val="000000"/>
      <w:sz w:val="24"/>
      <w:szCs w:val="24"/>
      <w:u w:color="000000"/>
    </w:rPr>
  </w:style>
  <w:style w:type="character" w:customStyle="1" w:styleId="AucunAA">
    <w:name w:val="Aucun A A"/>
    <w:basedOn w:val="AucunA"/>
    <w:rPr>
      <w:lang w:val="fr-FR"/>
    </w:rPr>
  </w:style>
  <w:style w:type="character" w:customStyle="1" w:styleId="Hyperlink0">
    <w:name w:val="Hyperlink.0"/>
    <w:basedOn w:val="AucunA"/>
    <w:rPr>
      <w:rFonts w:ascii="Times New Roman" w:eastAsia="Times New Roman" w:hAnsi="Times New Roman" w:cs="Times New Roman"/>
      <w:color w:val="0000FF"/>
      <w:u w:val="single" w:color="0000FF"/>
      <w:lang w:val="fr-FR"/>
    </w:rPr>
  </w:style>
  <w:style w:type="character" w:customStyle="1" w:styleId="Lien">
    <w:name w:val="Lien"/>
    <w:rPr>
      <w:color w:val="0000FF"/>
      <w:u w:val="single" w:color="0000FF"/>
    </w:rPr>
  </w:style>
  <w:style w:type="character" w:customStyle="1" w:styleId="Hyperlink1">
    <w:name w:val="Hyperlink.1"/>
    <w:basedOn w:val="Lien"/>
    <w:rPr>
      <w:rFonts w:ascii="Times New Roman" w:eastAsia="Times New Roman" w:hAnsi="Times New Roman" w:cs="Times New Roman"/>
      <w:color w:val="0000FF"/>
      <w:u w:val="single" w:color="0000FF"/>
    </w:rPr>
  </w:style>
  <w:style w:type="character" w:customStyle="1" w:styleId="Hyperlink2">
    <w:name w:val="Hyperlink.2"/>
    <w:basedOn w:val="AucunA"/>
    <w:rPr>
      <w:rFonts w:ascii="Times New Roman" w:eastAsia="Times New Roman" w:hAnsi="Times New Roman" w:cs="Times New Roman"/>
      <w:color w:val="0000FF"/>
      <w:u w:val="single" w:color="0000FF"/>
      <w:lang w:val="fr-FR"/>
    </w:rPr>
  </w:style>
  <w:style w:type="character" w:customStyle="1" w:styleId="Hyperlink3">
    <w:name w:val="Hyperlink.3"/>
    <w:basedOn w:val="AucunA"/>
    <w:rPr>
      <w:color w:val="0000FF"/>
      <w:sz w:val="22"/>
      <w:szCs w:val="22"/>
      <w:u w:val="single" w:color="0000FF"/>
      <w:lang w:val="fr-FR"/>
    </w:rPr>
  </w:style>
  <w:style w:type="character" w:customStyle="1" w:styleId="Hyperlink4">
    <w:name w:val="Hyperlink.4"/>
    <w:basedOn w:val="AucunA"/>
    <w:rPr>
      <w:rFonts w:ascii="Times New Roman" w:eastAsia="Times New Roman" w:hAnsi="Times New Roman" w:cs="Times New Roman"/>
      <w:color w:val="0000FF"/>
      <w:u w:val="single" w:color="0000FF"/>
      <w:lang w:val="fr-FR"/>
    </w:rPr>
  </w:style>
  <w:style w:type="character" w:customStyle="1" w:styleId="Hyperlink5">
    <w:name w:val="Hyperlink.5"/>
    <w:basedOn w:val="Lien"/>
    <w:rPr>
      <w:rFonts w:ascii="Times New Roman" w:eastAsia="Times New Roman" w:hAnsi="Times New Roman" w:cs="Times New Roman"/>
      <w:color w:val="0000FF"/>
      <w:u w:val="single" w:color="0000FF"/>
      <w:lang w:val="fr-FR"/>
    </w:rPr>
  </w:style>
  <w:style w:type="character" w:customStyle="1" w:styleId="Hyperlink6">
    <w:name w:val="Hyperlink.6"/>
    <w:basedOn w:val="Lien"/>
    <w:rPr>
      <w:rFonts w:ascii="Times New Roman" w:eastAsia="Times New Roman" w:hAnsi="Times New Roman" w:cs="Times New Roman"/>
      <w:color w:val="0000FF"/>
      <w:u w:val="single" w:color="0000FF"/>
      <w:lang w:val="da-DK"/>
    </w:rPr>
  </w:style>
  <w:style w:type="paragraph" w:customStyle="1" w:styleId="CorpsB">
    <w:name w:val="Corps B"/>
    <w:rPr>
      <w:rFonts w:eastAsia="Times New Roman"/>
      <w:color w:val="000000"/>
      <w:sz w:val="24"/>
      <w:szCs w:val="24"/>
      <w:u w:color="000000"/>
      <w:lang w:val="en-US"/>
    </w:rPr>
  </w:style>
  <w:style w:type="numbering" w:customStyle="1" w:styleId="Style3import">
    <w:name w:val="Style 3 importé"/>
    <w:pPr>
      <w:numPr>
        <w:numId w:val="1"/>
      </w:numPr>
    </w:pPr>
  </w:style>
  <w:style w:type="character" w:styleId="FootnoteReference">
    <w:name w:val="footnote reference"/>
    <w:basedOn w:val="AucunA"/>
    <w:rPr>
      <w:vertAlign w:val="superscript"/>
      <w:lang w:val="fr-FR"/>
    </w:rPr>
  </w:style>
  <w:style w:type="paragraph" w:styleId="FootnoteText">
    <w:name w:val="footnote text"/>
    <w:rPr>
      <w:rFonts w:eastAsia="Times New Roman"/>
      <w:color w:val="000000"/>
      <w:sz w:val="24"/>
      <w:szCs w:val="24"/>
      <w:u w:color="000000"/>
      <w:lang w:val="en-US"/>
    </w:rPr>
  </w:style>
  <w:style w:type="numbering" w:customStyle="1" w:styleId="Style2import">
    <w:name w:val="Style 2 importé"/>
    <w:pPr>
      <w:numPr>
        <w:numId w:val="3"/>
      </w:numPr>
    </w:pPr>
  </w:style>
  <w:style w:type="character" w:customStyle="1" w:styleId="Hyperlink7">
    <w:name w:val="Hyperlink.7"/>
    <w:basedOn w:val="AucunA"/>
    <w:rPr>
      <w:rFonts w:ascii="Times New Roman" w:eastAsia="Times New Roman" w:hAnsi="Times New Roman" w:cs="Times New Roman"/>
      <w:color w:val="0000FF"/>
      <w:sz w:val="24"/>
      <w:szCs w:val="24"/>
      <w:u w:val="single" w:color="0000FF"/>
      <w:lang w:val="fr-FR"/>
    </w:rPr>
  </w:style>
  <w:style w:type="paragraph" w:styleId="ListParagraph">
    <w:name w:val="List Paragraph"/>
    <w:pPr>
      <w:spacing w:after="200" w:line="276" w:lineRule="auto"/>
      <w:ind w:left="720"/>
    </w:pPr>
    <w:rPr>
      <w:rFonts w:ascii="Calibri" w:eastAsia="Calibri" w:hAnsi="Calibri" w:cs="Calibri"/>
      <w:color w:val="000000"/>
      <w:sz w:val="22"/>
      <w:szCs w:val="22"/>
      <w:u w:color="000000"/>
    </w:rPr>
  </w:style>
  <w:style w:type="numbering" w:customStyle="1" w:styleId="Style3import0">
    <w:name w:val="Style 3 importé.0"/>
    <w:pPr>
      <w:numPr>
        <w:numId w:val="10"/>
      </w:numPr>
    </w:pPr>
  </w:style>
  <w:style w:type="numbering" w:customStyle="1" w:styleId="Style1import">
    <w:name w:val="Style 1 importé"/>
    <w:pPr>
      <w:numPr>
        <w:numId w:val="12"/>
      </w:numPr>
    </w:pPr>
  </w:style>
  <w:style w:type="character" w:customStyle="1" w:styleId="Hyperlink8">
    <w:name w:val="Hyperlink.8"/>
    <w:basedOn w:val="AucunA"/>
    <w:rPr>
      <w:rFonts w:ascii="Times New Roman" w:eastAsia="Times New Roman" w:hAnsi="Times New Roman" w:cs="Times New Roman"/>
      <w:color w:val="0000FF"/>
      <w:sz w:val="24"/>
      <w:szCs w:val="24"/>
      <w:u w:val="single" w:color="0000FF"/>
      <w:lang w:val="fr-FR"/>
    </w:rPr>
  </w:style>
  <w:style w:type="paragraph" w:customStyle="1" w:styleId="CorpsAA">
    <w:name w:val="Corps A A"/>
    <w:pPr>
      <w:spacing w:after="200" w:line="276" w:lineRule="auto"/>
    </w:pPr>
    <w:rPr>
      <w:rFonts w:ascii="Calibri" w:eastAsia="Calibri" w:hAnsi="Calibri" w:cs="Calibri"/>
      <w:color w:val="000000"/>
      <w:sz w:val="22"/>
      <w:szCs w:val="22"/>
      <w:u w:color="000000"/>
    </w:rPr>
  </w:style>
  <w:style w:type="character" w:customStyle="1" w:styleId="Hyperlink9">
    <w:name w:val="Hyperlink.9"/>
    <w:basedOn w:val="AucunA"/>
    <w:rPr>
      <w:color w:val="000000"/>
      <w:u w:val="single" w:color="000000"/>
      <w:lang w:val="fr-FR"/>
    </w:rPr>
  </w:style>
  <w:style w:type="character" w:customStyle="1" w:styleId="Hyperlink10">
    <w:name w:val="Hyperlink.10"/>
    <w:basedOn w:val="AucunA"/>
    <w:rPr>
      <w:color w:val="0000FF"/>
      <w:u w:val="single" w:color="0000FF"/>
      <w:lang w:val="fr-FR"/>
    </w:rPr>
  </w:style>
  <w:style w:type="character" w:customStyle="1" w:styleId="Hyperlink11">
    <w:name w:val="Hyperlink.11"/>
    <w:basedOn w:val="AucunA"/>
    <w:rPr>
      <w:color w:val="0000FF"/>
      <w:u w:val="single" w:color="0000FF"/>
      <w:lang w:val="fr-FR"/>
    </w:rPr>
  </w:style>
  <w:style w:type="character" w:customStyle="1" w:styleId="Hyperlink12">
    <w:name w:val="Hyperlink.12"/>
    <w:basedOn w:val="AucunA"/>
    <w:rPr>
      <w:rFonts w:ascii="Times New Roman" w:eastAsia="Times New Roman" w:hAnsi="Times New Roman" w:cs="Times New Roman"/>
      <w:color w:val="0000FF"/>
      <w:sz w:val="24"/>
      <w:szCs w:val="24"/>
      <w:u w:val="single" w:color="0000FF"/>
      <w:lang w:val="de-DE"/>
    </w:rPr>
  </w:style>
  <w:style w:type="paragraph" w:customStyle="1" w:styleId="CorpsC">
    <w:name w:val="Corps C"/>
    <w:rPr>
      <w:rFonts w:eastAsia="Times New Roman"/>
      <w:color w:val="000000"/>
      <w:sz w:val="24"/>
      <w:szCs w:val="24"/>
      <w:u w:color="000000"/>
    </w:rPr>
  </w:style>
  <w:style w:type="paragraph" w:customStyle="1" w:styleId="CorpsCA">
    <w:name w:val="Corps C A"/>
    <w:rPr>
      <w:rFonts w:eastAsia="Times New Roman"/>
      <w:color w:val="000000"/>
      <w:sz w:val="24"/>
      <w:szCs w:val="24"/>
      <w:u w:color="00000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70B5E"/>
    <w:rPr>
      <w:rFonts w:ascii="Tahoma" w:hAnsi="Tahoma" w:cs="Tahoma"/>
      <w:sz w:val="16"/>
      <w:szCs w:val="16"/>
    </w:rPr>
  </w:style>
  <w:style w:type="character" w:customStyle="1" w:styleId="BalloonTextChar">
    <w:name w:val="Balloon Text Char"/>
    <w:basedOn w:val="DefaultParagraphFont"/>
    <w:link w:val="BalloonText"/>
    <w:uiPriority w:val="99"/>
    <w:semiHidden/>
    <w:rsid w:val="00670B5E"/>
    <w:rPr>
      <w:rFonts w:ascii="Tahoma" w:hAnsi="Tahoma" w:cs="Tahoma"/>
      <w:sz w:val="16"/>
      <w:szCs w:val="16"/>
      <w:lang w:val="en-US" w:eastAsia="en-US"/>
    </w:rPr>
  </w:style>
  <w:style w:type="character" w:styleId="LineNumber">
    <w:name w:val="line number"/>
    <w:basedOn w:val="DefaultParagraphFont"/>
    <w:uiPriority w:val="99"/>
    <w:semiHidden/>
    <w:unhideWhenUsed/>
    <w:rsid w:val="00525CAD"/>
  </w:style>
  <w:style w:type="paragraph" w:styleId="CommentSubject">
    <w:name w:val="annotation subject"/>
    <w:basedOn w:val="CommentText"/>
    <w:next w:val="CommentText"/>
    <w:link w:val="CommentSubjectChar"/>
    <w:uiPriority w:val="99"/>
    <w:semiHidden/>
    <w:unhideWhenUsed/>
    <w:rsid w:val="00752EB1"/>
    <w:rPr>
      <w:b/>
      <w:bCs/>
    </w:rPr>
  </w:style>
  <w:style w:type="character" w:customStyle="1" w:styleId="CommentSubjectChar">
    <w:name w:val="Comment Subject Char"/>
    <w:basedOn w:val="CommentTextChar"/>
    <w:link w:val="CommentSubject"/>
    <w:uiPriority w:val="99"/>
    <w:semiHidden/>
    <w:rsid w:val="00752EB1"/>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mmakasongo1@yahoo.fr" TargetMode="External"/><Relationship Id="rId13" Type="http://schemas.openxmlformats.org/officeDocument/2006/relationships/hyperlink" Target="mailto:fellybolambelok@yahoo.fr" TargetMode="External"/><Relationship Id="rId18" Type="http://schemas.openxmlformats.org/officeDocument/2006/relationships/hyperlink" Target="mailto:nils.bourland@aigx.be" TargetMode="Externa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www.persee.fr/doc/caoum_0373-5834_1979_num_32_127_2908" TargetMode="External"/><Relationship Id="rId34"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yperlink" Target="mailto:ohardy@ulb.ac.be" TargetMode="External"/><Relationship Id="rId17" Type="http://schemas.openxmlformats.org/officeDocument/2006/relationships/hyperlink" Target="mailto:hans.beeckman@africamuseum.be" TargetMode="External"/><Relationship Id="rId25" Type="http://schemas.openxmlformats.org/officeDocument/2006/relationships/hyperlink" Target="http://www.sifee.org/static/uploaded/Files/ressources/actes-des-colloques/yaounde/pleniere-2-2/2_LEROY_DERROIRE_TXT.pdf" TargetMode="External"/><Relationship Id="rId33" Type="http://schemas.openxmlformats.org/officeDocument/2006/relationships/image" Target="media/image6.jpe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joris.vancker@ugent.be" TargetMode="External"/><Relationship Id="rId20" Type="http://schemas.openxmlformats.org/officeDocument/2006/relationships/comments" Target="comments.xml"/><Relationship Id="rId29"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fmonthekameni@yahoo.fr" TargetMode="External"/><Relationship Id="rId24" Type="http://schemas.openxmlformats.org/officeDocument/2006/relationships/hyperlink" Target="https://popups.uliege.be:443/1780-4507/index.php?id=16353" TargetMode="External"/><Relationship Id="rId32" Type="http://schemas.openxmlformats.org/officeDocument/2006/relationships/image" Target="media/image5.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jan.vandenbulcke@ugent.be" TargetMode="External"/><Relationship Id="rId23" Type="http://schemas.openxmlformats.org/officeDocument/2006/relationships/hyperlink" Target="http://agritrop.cirad.fr/315216/" TargetMode="External"/><Relationship Id="rId28" Type="http://schemas.openxmlformats.org/officeDocument/2006/relationships/image" Target="media/image1.jpeg"/><Relationship Id="rId36" Type="http://schemas.openxmlformats.org/officeDocument/2006/relationships/image" Target="media/image9.jpeg"/><Relationship Id="rId10" Type="http://schemas.openxmlformats.org/officeDocument/2006/relationships/hyperlink" Target="mailto:dominique.louppe@cirad.fr" TargetMode="External"/><Relationship Id="rId19" Type="http://schemas.openxmlformats.org/officeDocument/2006/relationships/hyperlink" Target="http://insidewood.lib.ncsu.edu"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mailto:emmanuel.KasongoYakusu@ugent.be" TargetMode="External"/><Relationship Id="rId14" Type="http://schemas.openxmlformats.org/officeDocument/2006/relationships/hyperlink" Target="mailto:wannes.hubau@africamuseum.be" TargetMode="External"/><Relationship Id="rId22" Type="http://schemas.openxmlformats.org/officeDocument/2006/relationships/hyperlink" Target="https://cites.org/fra/disc/text.php" TargetMode="External"/><Relationship Id="rId27" Type="http://schemas.openxmlformats.org/officeDocument/2006/relationships/footer" Target="footer1.xml"/><Relationship Id="rId30" Type="http://schemas.openxmlformats.org/officeDocument/2006/relationships/image" Target="media/image3.jpeg"/><Relationship Id="rId35" Type="http://schemas.openxmlformats.org/officeDocument/2006/relationships/image" Target="media/image8.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55</Pages>
  <Words>12300</Words>
  <Characters>70112</Characters>
  <Application>Microsoft Office Word</Application>
  <DocSecurity>0</DocSecurity>
  <Lines>584</Lines>
  <Paragraphs>164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MRAC - KMMA</Company>
  <LinksUpToDate>false</LinksUpToDate>
  <CharactersWithSpaces>82248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REFORCO</dc:creator>
  <cp:lastModifiedBy>Kempenaers José</cp:lastModifiedBy>
  <cp:revision>2</cp:revision>
  <dcterms:created xsi:type="dcterms:W3CDTF">2019-02-28T11:08:00Z</dcterms:created>
  <dcterms:modified xsi:type="dcterms:W3CDTF">2019-02-28T11:08:00Z</dcterms:modified>
</cp:coreProperties>
</file>